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C7FF3D" w14:textId="77777777" w:rsidR="00FB154F" w:rsidRDefault="00FB154F" w:rsidP="00B4665C">
      <w:pPr>
        <w:spacing w:after="200" w:line="276" w:lineRule="auto"/>
        <w:jc w:val="center"/>
        <w:rPr>
          <w:rFonts w:ascii="Calibri Light" w:eastAsia="Calibri" w:hAnsi="Calibri Light" w:cs="Calibri Light"/>
          <w:b/>
          <w:bCs/>
          <w:lang w:val="es-MX"/>
        </w:rPr>
      </w:pPr>
      <w:r w:rsidRPr="00EB6786">
        <w:rPr>
          <w:rFonts w:ascii="Calibri Light" w:eastAsia="Calibri" w:hAnsi="Calibri Light" w:cs="Calibri Light"/>
          <w:b/>
          <w:bCs/>
          <w:lang w:val="es-MX"/>
        </w:rPr>
        <w:t>GUION DE ESTUDIOS</w:t>
      </w:r>
    </w:p>
    <w:tbl>
      <w:tblPr>
        <w:tblStyle w:val="TableGrid"/>
        <w:tblW w:w="0" w:type="auto"/>
        <w:tblLook w:val="04A0" w:firstRow="1" w:lastRow="0" w:firstColumn="1" w:lastColumn="0" w:noHBand="0" w:noVBand="1"/>
      </w:tblPr>
      <w:tblGrid>
        <w:gridCol w:w="8828"/>
      </w:tblGrid>
      <w:tr w:rsidR="00EB6786" w:rsidRPr="00EB6786" w14:paraId="400870AD" w14:textId="77777777" w:rsidTr="00EB6786">
        <w:tc>
          <w:tcPr>
            <w:tcW w:w="8828" w:type="dxa"/>
          </w:tcPr>
          <w:tbl>
            <w:tblPr>
              <w:tblStyle w:val="TableGridLight"/>
              <w:tblW w:w="115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600"/>
              <w:gridCol w:w="1350"/>
              <w:gridCol w:w="2177"/>
              <w:gridCol w:w="2233"/>
              <w:gridCol w:w="2233"/>
            </w:tblGrid>
            <w:tr w:rsidR="00BC6175" w:rsidRPr="00EB6786" w14:paraId="5F49F272" w14:textId="7F8BF9CA" w:rsidTr="00BC6175">
              <w:trPr>
                <w:trHeight w:val="198"/>
              </w:trPr>
              <w:tc>
                <w:tcPr>
                  <w:tcW w:w="3600" w:type="dxa"/>
                </w:tcPr>
                <w:p w14:paraId="2ECE567D" w14:textId="77777777" w:rsidR="00BC6175" w:rsidRPr="00EB6786" w:rsidRDefault="00BC6175" w:rsidP="00B4665C">
                  <w:pPr>
                    <w:rPr>
                      <w:rFonts w:ascii="Noto Sans" w:eastAsia="Noto Sans" w:hAnsi="Noto Sans" w:cs="Noto Sans"/>
                      <w:b/>
                      <w:smallCaps/>
                      <w:sz w:val="22"/>
                      <w:szCs w:val="22"/>
                    </w:rPr>
                  </w:pPr>
                  <w:r w:rsidRPr="00EB6786">
                    <w:rPr>
                      <w:rFonts w:ascii="Noto Sans" w:eastAsia="Noto Sans" w:hAnsi="Noto Sans" w:cs="Noto Sans"/>
                      <w:b/>
                      <w:sz w:val="22"/>
                      <w:szCs w:val="22"/>
                    </w:rPr>
                    <w:t>Coordinación Académica</w:t>
                  </w:r>
                </w:p>
              </w:tc>
              <w:tc>
                <w:tcPr>
                  <w:tcW w:w="1350" w:type="dxa"/>
                </w:tcPr>
                <w:p w14:paraId="3CD8B820" w14:textId="77777777" w:rsidR="00BC6175" w:rsidRPr="00EB6786" w:rsidRDefault="00BC6175" w:rsidP="00B4665C">
                  <w:pPr>
                    <w:jc w:val="center"/>
                    <w:rPr>
                      <w:rFonts w:ascii="Noto Sans" w:eastAsia="Noto Sans" w:hAnsi="Noto Sans" w:cs="Noto Sans"/>
                      <w:b/>
                      <w:smallCaps/>
                      <w:sz w:val="22"/>
                      <w:szCs w:val="22"/>
                    </w:rPr>
                  </w:pPr>
                  <w:r w:rsidRPr="00EB6786">
                    <w:rPr>
                      <w:rFonts w:ascii="Noto Sans" w:eastAsia="Noto Sans" w:hAnsi="Noto Sans" w:cs="Noto Sans"/>
                      <w:b/>
                      <w:sz w:val="22"/>
                      <w:szCs w:val="22"/>
                    </w:rPr>
                    <w:t>Semestre</w:t>
                  </w:r>
                </w:p>
              </w:tc>
              <w:tc>
                <w:tcPr>
                  <w:tcW w:w="2177" w:type="dxa"/>
                </w:tcPr>
                <w:p w14:paraId="611C7EBC" w14:textId="667352BE" w:rsidR="00BC6175" w:rsidRPr="00EB6786" w:rsidRDefault="00BC6175" w:rsidP="00B4665C">
                  <w:pPr>
                    <w:jc w:val="center"/>
                    <w:rPr>
                      <w:rFonts w:ascii="Noto Sans" w:eastAsia="Noto Sans" w:hAnsi="Noto Sans" w:cs="Noto Sans"/>
                      <w:b/>
                      <w:smallCaps/>
                      <w:sz w:val="22"/>
                      <w:szCs w:val="22"/>
                    </w:rPr>
                  </w:pPr>
                  <w:r w:rsidRPr="00EB6786">
                    <w:rPr>
                      <w:rFonts w:ascii="Noto Sans" w:eastAsia="Noto Sans" w:hAnsi="Noto Sans" w:cs="Noto Sans"/>
                      <w:b/>
                      <w:sz w:val="22"/>
                      <w:szCs w:val="22"/>
                    </w:rPr>
                    <w:t>Ciclo escolar “</w:t>
                  </w:r>
                  <w:r>
                    <w:rPr>
                      <w:rFonts w:ascii="Noto Sans" w:eastAsia="Noto Sans" w:hAnsi="Noto Sans" w:cs="Noto Sans"/>
                      <w:b/>
                      <w:sz w:val="22"/>
                      <w:szCs w:val="22"/>
                    </w:rPr>
                    <w:t>B</w:t>
                  </w:r>
                  <w:r w:rsidRPr="00EB6786">
                    <w:rPr>
                      <w:rFonts w:ascii="Noto Sans" w:eastAsia="Noto Sans" w:hAnsi="Noto Sans" w:cs="Noto Sans"/>
                      <w:b/>
                      <w:sz w:val="22"/>
                      <w:szCs w:val="22"/>
                    </w:rPr>
                    <w:t>”</w:t>
                  </w:r>
                </w:p>
              </w:tc>
              <w:tc>
                <w:tcPr>
                  <w:tcW w:w="2233" w:type="dxa"/>
                </w:tcPr>
                <w:p w14:paraId="1D36EDB5" w14:textId="77777777" w:rsidR="00BC6175" w:rsidRPr="00EB6786" w:rsidRDefault="00BC6175" w:rsidP="00B4665C">
                  <w:pPr>
                    <w:jc w:val="center"/>
                    <w:rPr>
                      <w:rFonts w:ascii="Noto Sans" w:eastAsia="Noto Sans" w:hAnsi="Noto Sans" w:cs="Noto Sans"/>
                      <w:b/>
                      <w:smallCaps/>
                      <w:sz w:val="22"/>
                      <w:szCs w:val="22"/>
                    </w:rPr>
                  </w:pPr>
                  <w:r w:rsidRPr="00EB6786">
                    <w:rPr>
                      <w:rFonts w:ascii="Noto Sans" w:eastAsia="Noto Sans" w:hAnsi="Noto Sans" w:cs="Noto Sans"/>
                      <w:b/>
                      <w:sz w:val="22"/>
                      <w:szCs w:val="22"/>
                    </w:rPr>
                    <w:t>Fecha</w:t>
                  </w:r>
                </w:p>
              </w:tc>
              <w:tc>
                <w:tcPr>
                  <w:tcW w:w="2233" w:type="dxa"/>
                </w:tcPr>
                <w:p w14:paraId="37FAC779" w14:textId="77777777" w:rsidR="00BC6175" w:rsidRPr="00EB6786" w:rsidRDefault="00BC6175" w:rsidP="00B4665C">
                  <w:pPr>
                    <w:jc w:val="center"/>
                    <w:rPr>
                      <w:rFonts w:ascii="Noto Sans" w:eastAsia="Noto Sans" w:hAnsi="Noto Sans" w:cs="Noto Sans"/>
                      <w:b/>
                      <w:sz w:val="22"/>
                      <w:szCs w:val="22"/>
                    </w:rPr>
                  </w:pPr>
                </w:p>
              </w:tc>
            </w:tr>
            <w:tr w:rsidR="00BC6175" w:rsidRPr="00EB6786" w14:paraId="6288AD02" w14:textId="2AC347FF" w:rsidTr="00BC6175">
              <w:trPr>
                <w:trHeight w:val="198"/>
              </w:trPr>
              <w:tc>
                <w:tcPr>
                  <w:tcW w:w="3600" w:type="dxa"/>
                </w:tcPr>
                <w:p w14:paraId="32E6FA5F" w14:textId="1C9E8F22" w:rsidR="00BC6175" w:rsidRPr="00EB6786" w:rsidRDefault="00BC6175" w:rsidP="00B4665C">
                  <w:pPr>
                    <w:rPr>
                      <w:rFonts w:ascii="Noto Sans" w:eastAsia="Noto Sans" w:hAnsi="Noto Sans" w:cs="Noto Sans"/>
                      <w:b/>
                      <w:sz w:val="22"/>
                      <w:szCs w:val="22"/>
                    </w:rPr>
                  </w:pPr>
                  <w:r>
                    <w:rPr>
                      <w:rFonts w:ascii="Noto Sans" w:eastAsia="Noto Sans" w:hAnsi="Noto Sans" w:cs="Noto Sans"/>
                      <w:b/>
                      <w:sz w:val="22"/>
                      <w:szCs w:val="22"/>
                    </w:rPr>
                    <w:t>CAPACITACIÓN HIGIENE Y SALUD COMUNITARIA</w:t>
                  </w:r>
                </w:p>
              </w:tc>
              <w:tc>
                <w:tcPr>
                  <w:tcW w:w="1350" w:type="dxa"/>
                </w:tcPr>
                <w:p w14:paraId="621FEB1F" w14:textId="013FB32F" w:rsidR="00BC6175" w:rsidRPr="00EB6786" w:rsidRDefault="00BC6175" w:rsidP="00B4665C">
                  <w:pPr>
                    <w:jc w:val="center"/>
                    <w:rPr>
                      <w:rFonts w:ascii="Noto Sans" w:eastAsia="Noto Sans" w:hAnsi="Noto Sans" w:cs="Noto Sans"/>
                      <w:b/>
                      <w:sz w:val="22"/>
                      <w:szCs w:val="22"/>
                    </w:rPr>
                  </w:pPr>
                  <w:r>
                    <w:rPr>
                      <w:rFonts w:ascii="Noto Sans" w:eastAsia="Noto Sans" w:hAnsi="Noto Sans" w:cs="Noto Sans"/>
                      <w:b/>
                      <w:sz w:val="22"/>
                      <w:szCs w:val="22"/>
                    </w:rPr>
                    <w:t>VI</w:t>
                  </w:r>
                </w:p>
              </w:tc>
              <w:tc>
                <w:tcPr>
                  <w:tcW w:w="2177" w:type="dxa"/>
                </w:tcPr>
                <w:p w14:paraId="7D8BF194" w14:textId="33246004" w:rsidR="00BC6175" w:rsidRPr="00EB6786" w:rsidRDefault="00BC6175" w:rsidP="00B4665C">
                  <w:pPr>
                    <w:jc w:val="center"/>
                    <w:rPr>
                      <w:rFonts w:ascii="Noto Sans" w:eastAsia="Noto Sans" w:hAnsi="Noto Sans" w:cs="Noto Sans"/>
                      <w:b/>
                      <w:sz w:val="22"/>
                      <w:szCs w:val="22"/>
                    </w:rPr>
                  </w:pPr>
                  <w:r>
                    <w:rPr>
                      <w:rFonts w:ascii="Noto Sans" w:eastAsia="Noto Sans" w:hAnsi="Noto Sans" w:cs="Noto Sans"/>
                      <w:b/>
                      <w:sz w:val="22"/>
                      <w:szCs w:val="22"/>
                    </w:rPr>
                    <w:t>2025-2026</w:t>
                  </w:r>
                </w:p>
              </w:tc>
              <w:tc>
                <w:tcPr>
                  <w:tcW w:w="2233" w:type="dxa"/>
                </w:tcPr>
                <w:p w14:paraId="7CBFBB7D" w14:textId="6E642A4E" w:rsidR="00BC6175" w:rsidRPr="00EB6786" w:rsidRDefault="00BC6175" w:rsidP="00BC6175">
                  <w:pPr>
                    <w:rPr>
                      <w:rFonts w:ascii="Noto Sans" w:eastAsia="Noto Sans" w:hAnsi="Noto Sans" w:cs="Noto Sans"/>
                      <w:b/>
                      <w:sz w:val="22"/>
                      <w:szCs w:val="22"/>
                    </w:rPr>
                  </w:pPr>
                  <w:r>
                    <w:rPr>
                      <w:rFonts w:ascii="Noto Sans" w:eastAsia="Noto Sans" w:hAnsi="Noto Sans" w:cs="Noto Sans"/>
                      <w:b/>
                      <w:sz w:val="22"/>
                      <w:szCs w:val="22"/>
                    </w:rPr>
                    <w:t>ENERO  2026</w:t>
                  </w:r>
                </w:p>
              </w:tc>
              <w:tc>
                <w:tcPr>
                  <w:tcW w:w="2233" w:type="dxa"/>
                </w:tcPr>
                <w:p w14:paraId="20ADCFB7" w14:textId="77777777" w:rsidR="00BC6175" w:rsidRDefault="00BC6175" w:rsidP="00BC6175">
                  <w:pPr>
                    <w:rPr>
                      <w:rFonts w:ascii="Noto Sans" w:eastAsia="Noto Sans" w:hAnsi="Noto Sans" w:cs="Noto Sans"/>
                      <w:b/>
                      <w:sz w:val="22"/>
                      <w:szCs w:val="22"/>
                    </w:rPr>
                  </w:pPr>
                </w:p>
              </w:tc>
            </w:tr>
          </w:tbl>
          <w:p w14:paraId="0A1418CF" w14:textId="77777777" w:rsidR="00EB6786" w:rsidRPr="00EB6786" w:rsidRDefault="00EB6786" w:rsidP="00FB154F">
            <w:pPr>
              <w:spacing w:after="200" w:line="276" w:lineRule="auto"/>
              <w:jc w:val="center"/>
              <w:rPr>
                <w:rFonts w:ascii="Calibri Light" w:eastAsia="Calibri" w:hAnsi="Calibri Light" w:cs="Calibri Light"/>
                <w:b/>
                <w:bCs/>
                <w:lang w:val="es-MX"/>
              </w:rPr>
            </w:pPr>
          </w:p>
        </w:tc>
      </w:tr>
    </w:tbl>
    <w:p w14:paraId="284A5DB0" w14:textId="77777777" w:rsidR="00EB6786" w:rsidRPr="00EB6786" w:rsidRDefault="00EB6786" w:rsidP="00B4665C">
      <w:pPr>
        <w:spacing w:after="200" w:line="276" w:lineRule="auto"/>
        <w:rPr>
          <w:rFonts w:ascii="Calibri Light" w:eastAsia="Calibri" w:hAnsi="Calibri Light" w:cs="Calibri Light"/>
          <w:b/>
          <w:bCs/>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6790"/>
      </w:tblGrid>
      <w:tr w:rsidR="00FB154F" w:rsidRPr="00FB154F" w14:paraId="5CA4B6DB" w14:textId="77777777" w:rsidTr="00FB154F">
        <w:trPr>
          <w:trHeight w:val="851"/>
        </w:trPr>
        <w:tc>
          <w:tcPr>
            <w:tcW w:w="1154" w:type="pct"/>
            <w:tcBorders>
              <w:top w:val="single" w:sz="4" w:space="0" w:color="000000"/>
              <w:left w:val="single" w:sz="4" w:space="0" w:color="000000"/>
              <w:bottom w:val="single" w:sz="4" w:space="0" w:color="000000"/>
              <w:right w:val="single" w:sz="4" w:space="0" w:color="auto"/>
            </w:tcBorders>
            <w:vAlign w:val="center"/>
            <w:hideMark/>
          </w:tcPr>
          <w:p w14:paraId="08A258EA" w14:textId="77777777"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t>Progresión     1</w:t>
            </w:r>
          </w:p>
        </w:tc>
        <w:tc>
          <w:tcPr>
            <w:tcW w:w="3846" w:type="pct"/>
            <w:tcBorders>
              <w:top w:val="single" w:sz="4" w:space="0" w:color="000000"/>
              <w:left w:val="single" w:sz="4" w:space="0" w:color="auto"/>
              <w:bottom w:val="single" w:sz="4" w:space="0" w:color="000000"/>
              <w:right w:val="single" w:sz="4" w:space="0" w:color="000000"/>
            </w:tcBorders>
            <w:vAlign w:val="center"/>
            <w:hideMark/>
          </w:tcPr>
          <w:p w14:paraId="5739BA16" w14:textId="61F277E0" w:rsidR="00FB154F" w:rsidRPr="00FB154F" w:rsidRDefault="00EE280A" w:rsidP="00FB154F">
            <w:pPr>
              <w:tabs>
                <w:tab w:val="left" w:pos="3345"/>
                <w:tab w:val="center" w:pos="4419"/>
              </w:tabs>
              <w:spacing w:after="200" w:line="276" w:lineRule="auto"/>
              <w:rPr>
                <w:rFonts w:ascii="Calibri" w:eastAsia="Calibri" w:hAnsi="Calibri" w:cs="Calibri"/>
                <w:lang w:val="es-MX"/>
              </w:rPr>
            </w:pPr>
            <w:r w:rsidRPr="00EE280A">
              <w:rPr>
                <w:rFonts w:ascii="Calibri" w:eastAsia="Calibri" w:hAnsi="Calibri" w:cs="Calibri"/>
              </w:rPr>
              <w:t>Si se llevan a cabo prácticas de higiene colectiva en la creación de entornos saludables, se mejorará el bienestar biopsicosocial de la comunidad, ya que esto permitirá la disminución de los factores de riesgo y el incremento de los factores protectores que favorecen la salud individual y colectiva.</w:t>
            </w:r>
          </w:p>
        </w:tc>
      </w:tr>
      <w:tr w:rsidR="00FB154F" w:rsidRPr="00FB154F" w14:paraId="0FBA26CC"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29B33838" w14:textId="77777777" w:rsidR="00EE280A" w:rsidRDefault="00FB154F" w:rsidP="00FB154F">
            <w:pPr>
              <w:autoSpaceDE w:val="0"/>
              <w:autoSpaceDN w:val="0"/>
              <w:adjustRightInd w:val="0"/>
              <w:spacing w:line="256" w:lineRule="auto"/>
              <w:rPr>
                <w:rFonts w:ascii="Calibri Light" w:eastAsia="Calibri" w:hAnsi="Calibri Light" w:cs="Calibri Light"/>
                <w:lang w:val="es-MX"/>
              </w:rPr>
            </w:pPr>
            <w:r w:rsidRPr="00FB154F">
              <w:rPr>
                <w:rFonts w:ascii="Calibri Light" w:eastAsia="Calibri" w:hAnsi="Calibri Light" w:cs="Calibri Light"/>
                <w:lang w:val="es-MX"/>
              </w:rPr>
              <w:t xml:space="preserve">CONCEPTOS </w:t>
            </w:r>
          </w:p>
          <w:p w14:paraId="3607D9BC" w14:textId="38A002FC" w:rsidR="00FB154F" w:rsidRPr="00FB154F" w:rsidRDefault="00EE280A" w:rsidP="00FB154F">
            <w:pPr>
              <w:autoSpaceDE w:val="0"/>
              <w:autoSpaceDN w:val="0"/>
              <w:adjustRightInd w:val="0"/>
              <w:spacing w:line="256" w:lineRule="auto"/>
              <w:rPr>
                <w:rFonts w:ascii="Calibri Light" w:eastAsia="Calibri" w:hAnsi="Calibri Light" w:cs="Calibri Light"/>
                <w:lang w:val="es-MX"/>
              </w:rPr>
            </w:pPr>
            <w:r w:rsidRPr="00EE280A">
              <w:rPr>
                <w:rFonts w:ascii="Calibri Light" w:eastAsia="Calibri" w:hAnsi="Calibri Light" w:cs="Calibri Light"/>
              </w:rPr>
              <w:t>Concepto central CC. Bienestar biopsicosocial: higiene colectiva, epidemiología, salud pública y responsabilidad social.</w:t>
            </w:r>
          </w:p>
          <w:p w14:paraId="2AB22820" w14:textId="0B052A99" w:rsidR="00FB154F" w:rsidRPr="00FB154F" w:rsidRDefault="00FB154F" w:rsidP="00FB154F">
            <w:pPr>
              <w:autoSpaceDE w:val="0"/>
              <w:autoSpaceDN w:val="0"/>
              <w:adjustRightInd w:val="0"/>
              <w:spacing w:line="256" w:lineRule="auto"/>
              <w:rPr>
                <w:rFonts w:ascii="Calibri Light" w:eastAsia="Calibri" w:hAnsi="Calibri Light" w:cs="Calibri Light"/>
                <w:lang w:val="es-MX"/>
              </w:rPr>
            </w:pPr>
            <w:r w:rsidRPr="00FB154F">
              <w:rPr>
                <w:rFonts w:ascii="Calibri Light" w:eastAsia="Calibri" w:hAnsi="Calibri Light" w:cs="Calibri Light"/>
                <w:lang w:val="es-MX"/>
              </w:rPr>
              <w:t xml:space="preserve"> </w:t>
            </w:r>
          </w:p>
        </w:tc>
      </w:tr>
      <w:tr w:rsidR="00FB154F" w:rsidRPr="00FB154F" w14:paraId="0939C836"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736F2B69" w14:textId="77777777" w:rsidR="00FB154F" w:rsidRPr="00FB154F" w:rsidRDefault="00FB154F" w:rsidP="00FB154F">
            <w:pPr>
              <w:tabs>
                <w:tab w:val="left" w:pos="3345"/>
                <w:tab w:val="center" w:pos="4419"/>
              </w:tabs>
              <w:spacing w:after="200" w:line="276" w:lineRule="auto"/>
              <w:jc w:val="both"/>
              <w:rPr>
                <w:rFonts w:ascii="Calibri" w:eastAsia="Calibri" w:hAnsi="Calibri" w:cs="Times New Roman"/>
                <w:sz w:val="22"/>
                <w:szCs w:val="22"/>
                <w:lang w:val="es-MX"/>
              </w:rPr>
            </w:pPr>
          </w:p>
          <w:p w14:paraId="1E0B04B6" w14:textId="77777777" w:rsidR="008A1B57" w:rsidRDefault="00FB154F" w:rsidP="00FB154F">
            <w:pPr>
              <w:tabs>
                <w:tab w:val="left" w:pos="3345"/>
                <w:tab w:val="center" w:pos="4419"/>
              </w:tabs>
              <w:spacing w:after="200" w:line="276" w:lineRule="auto"/>
              <w:jc w:val="both"/>
              <w:rPr>
                <w:rFonts w:ascii="Calibri" w:eastAsia="Calibri" w:hAnsi="Calibri" w:cs="Times New Roman"/>
                <w:sz w:val="22"/>
                <w:szCs w:val="22"/>
                <w:lang w:val="es-MX"/>
              </w:rPr>
            </w:pPr>
            <w:r w:rsidRPr="00FB154F">
              <w:rPr>
                <w:rFonts w:ascii="Calibri" w:eastAsia="Calibri" w:hAnsi="Calibri" w:cs="Times New Roman"/>
                <w:sz w:val="22"/>
                <w:szCs w:val="22"/>
                <w:lang w:val="es-MX"/>
              </w:rPr>
              <w:t>METAS</w:t>
            </w:r>
            <w:r w:rsidR="00EE280A">
              <w:rPr>
                <w:rFonts w:ascii="Calibri" w:eastAsia="Calibri" w:hAnsi="Calibri" w:cs="Times New Roman"/>
                <w:sz w:val="22"/>
                <w:szCs w:val="22"/>
                <w:lang w:val="es-MX"/>
              </w:rPr>
              <w:t xml:space="preserve"> </w:t>
            </w:r>
          </w:p>
          <w:p w14:paraId="71250738" w14:textId="77777777" w:rsidR="008A1B57" w:rsidRDefault="00EE280A" w:rsidP="00FB154F">
            <w:pPr>
              <w:tabs>
                <w:tab w:val="left" w:pos="3345"/>
                <w:tab w:val="center" w:pos="4419"/>
              </w:tabs>
              <w:spacing w:after="200" w:line="276" w:lineRule="auto"/>
              <w:jc w:val="both"/>
              <w:rPr>
                <w:rFonts w:ascii="Calibri Light" w:eastAsia="Calibri" w:hAnsi="Calibri Light" w:cs="Calibri Light"/>
              </w:rPr>
            </w:pPr>
            <w:r w:rsidRPr="00EE280A">
              <w:rPr>
                <w:rFonts w:ascii="Calibri Light" w:eastAsia="Calibri" w:hAnsi="Calibri Light" w:cs="Calibri Light"/>
              </w:rPr>
              <w:t xml:space="preserve">Metas de Aprendizaje CC. Comprende que la salud pública es fundamental para contener el desarrollo y propagación de enfermedades, ya que atiende de forma ética y responsable los indicadores epidemiológicos derivados de factores biopsicosociales y con apoyo de la medicina tradicional y la tecnología desarrolla estrategias que promueven el bienestar integral y el acceso equitativo a servicios de salud en la población.  </w:t>
            </w:r>
          </w:p>
          <w:p w14:paraId="7F4DF59B" w14:textId="77777777" w:rsidR="008A1B57" w:rsidRDefault="00EE280A" w:rsidP="00FB154F">
            <w:pPr>
              <w:tabs>
                <w:tab w:val="left" w:pos="3345"/>
                <w:tab w:val="center" w:pos="4419"/>
              </w:tabs>
              <w:spacing w:after="200" w:line="276" w:lineRule="auto"/>
              <w:jc w:val="both"/>
              <w:rPr>
                <w:rFonts w:ascii="Calibri Light" w:eastAsia="Calibri" w:hAnsi="Calibri Light" w:cs="Calibri Light"/>
              </w:rPr>
            </w:pPr>
            <w:r w:rsidRPr="00EE280A">
              <w:rPr>
                <w:rFonts w:ascii="Calibri Light" w:eastAsia="Calibri" w:hAnsi="Calibri Light" w:cs="Calibri Light"/>
              </w:rPr>
              <w:t xml:space="preserve">Metas de Aprendizaje </w:t>
            </w:r>
          </w:p>
          <w:p w14:paraId="3D68BC9E" w14:textId="77777777" w:rsidR="008A1B57" w:rsidRDefault="008A1B57" w:rsidP="00FB154F">
            <w:pPr>
              <w:tabs>
                <w:tab w:val="left" w:pos="3345"/>
                <w:tab w:val="center" w:pos="4419"/>
              </w:tabs>
              <w:spacing w:after="200" w:line="276" w:lineRule="auto"/>
              <w:jc w:val="both"/>
              <w:rPr>
                <w:rFonts w:ascii="Calibri Light" w:eastAsia="Calibri" w:hAnsi="Calibri Light" w:cs="Calibri Light"/>
              </w:rPr>
            </w:pPr>
            <w:r>
              <w:rPr>
                <w:rFonts w:ascii="Calibri Light" w:eastAsia="Calibri" w:hAnsi="Calibri Light" w:cs="Calibri Light"/>
              </w:rPr>
              <w:t>-</w:t>
            </w:r>
            <w:r w:rsidR="00EE280A" w:rsidRPr="00EE280A">
              <w:rPr>
                <w:rFonts w:ascii="Calibri Light" w:eastAsia="Calibri" w:hAnsi="Calibri Light" w:cs="Calibri Light"/>
              </w:rPr>
              <w:t xml:space="preserve">CT1. Comprender que en la higiene colectiva se reproducen acciones que a gran escala mejoran la salud no solo individual sino comunitaria (limpieza de calles, uso de cubrebocas). </w:t>
            </w:r>
          </w:p>
          <w:p w14:paraId="3277F0CE" w14:textId="459C10A2" w:rsidR="008A1B57" w:rsidRDefault="00DF7DC2" w:rsidP="00FB154F">
            <w:pPr>
              <w:tabs>
                <w:tab w:val="left" w:pos="3345"/>
                <w:tab w:val="center" w:pos="4419"/>
              </w:tabs>
              <w:spacing w:after="200" w:line="276" w:lineRule="auto"/>
              <w:jc w:val="both"/>
              <w:rPr>
                <w:rFonts w:ascii="Calibri Light" w:eastAsia="Calibri" w:hAnsi="Calibri Light" w:cs="Calibri Light"/>
              </w:rPr>
            </w:pPr>
            <w:r>
              <w:rPr>
                <w:rFonts w:ascii="Calibri Light" w:eastAsia="Calibri" w:hAnsi="Calibri Light" w:cs="Calibri Light"/>
              </w:rPr>
              <w:t>-</w:t>
            </w:r>
            <w:r w:rsidR="00EE280A" w:rsidRPr="00EE280A">
              <w:rPr>
                <w:rFonts w:ascii="Calibri Light" w:eastAsia="Calibri" w:hAnsi="Calibri Light" w:cs="Calibri Light"/>
              </w:rPr>
              <w:t xml:space="preserve">CT2. Aplicar las medidas de higiene adecuadas al entorno para favorecer el estado de bienestar biopsicosocial. </w:t>
            </w:r>
          </w:p>
          <w:p w14:paraId="33B40685" w14:textId="0F36E9E0" w:rsidR="008A1B57" w:rsidRDefault="00DF7DC2" w:rsidP="00FB154F">
            <w:pPr>
              <w:tabs>
                <w:tab w:val="left" w:pos="3345"/>
                <w:tab w:val="center" w:pos="4419"/>
              </w:tabs>
              <w:spacing w:after="200" w:line="276" w:lineRule="auto"/>
              <w:jc w:val="both"/>
              <w:rPr>
                <w:rFonts w:ascii="Calibri Light" w:eastAsia="Calibri" w:hAnsi="Calibri Light" w:cs="Calibri Light"/>
              </w:rPr>
            </w:pPr>
            <w:r>
              <w:rPr>
                <w:rFonts w:ascii="Calibri Light" w:eastAsia="Calibri" w:hAnsi="Calibri Light" w:cs="Calibri Light"/>
              </w:rPr>
              <w:t>-</w:t>
            </w:r>
            <w:r w:rsidR="00EE280A" w:rsidRPr="00EE280A">
              <w:rPr>
                <w:rFonts w:ascii="Calibri Light" w:eastAsia="Calibri" w:hAnsi="Calibri Light" w:cs="Calibri Light"/>
              </w:rPr>
              <w:t xml:space="preserve">CT4. Comprender que el equilibrio en los sistemas internos tiene estrecha relación con el entorno y que la interacción de estos aumenta factores de riesgo biopsicosocial. </w:t>
            </w:r>
          </w:p>
          <w:p w14:paraId="4E60EEFA" w14:textId="48B6F3BE" w:rsidR="008A1B57" w:rsidRDefault="00DF7DC2" w:rsidP="00FB154F">
            <w:pPr>
              <w:tabs>
                <w:tab w:val="left" w:pos="3345"/>
                <w:tab w:val="center" w:pos="4419"/>
              </w:tabs>
              <w:spacing w:after="200" w:line="276" w:lineRule="auto"/>
              <w:jc w:val="both"/>
              <w:rPr>
                <w:rFonts w:ascii="Calibri Light" w:eastAsia="Calibri" w:hAnsi="Calibri Light" w:cs="Calibri Light"/>
              </w:rPr>
            </w:pPr>
            <w:r>
              <w:rPr>
                <w:rFonts w:ascii="Calibri Light" w:eastAsia="Calibri" w:hAnsi="Calibri Light" w:cs="Calibri Light"/>
              </w:rPr>
              <w:lastRenderedPageBreak/>
              <w:t>-</w:t>
            </w:r>
            <w:r w:rsidR="00EE280A" w:rsidRPr="00EE280A">
              <w:rPr>
                <w:rFonts w:ascii="Calibri Light" w:eastAsia="Calibri" w:hAnsi="Calibri Light" w:cs="Calibri Light"/>
              </w:rPr>
              <w:t xml:space="preserve">CT6. Identificar la estructura del sistema de salud pública y establecer la funcionalidad de cada uno de los niveles de atención. </w:t>
            </w:r>
          </w:p>
          <w:p w14:paraId="0AE14A0B" w14:textId="2DB190CC" w:rsidR="00FB154F" w:rsidRPr="008A1B57" w:rsidRDefault="00DF7DC2" w:rsidP="00FB154F">
            <w:pPr>
              <w:tabs>
                <w:tab w:val="left" w:pos="3345"/>
                <w:tab w:val="center" w:pos="4419"/>
              </w:tabs>
              <w:spacing w:after="200" w:line="276" w:lineRule="auto"/>
              <w:jc w:val="both"/>
              <w:rPr>
                <w:rFonts w:ascii="Calibri Light" w:eastAsia="Calibri" w:hAnsi="Calibri Light" w:cs="Calibri Light"/>
              </w:rPr>
            </w:pPr>
            <w:r>
              <w:rPr>
                <w:rFonts w:ascii="Calibri Light" w:eastAsia="Calibri" w:hAnsi="Calibri Light" w:cs="Calibri Light"/>
              </w:rPr>
              <w:t>-</w:t>
            </w:r>
            <w:r w:rsidR="00EE280A" w:rsidRPr="00EE280A">
              <w:rPr>
                <w:rFonts w:ascii="Calibri Light" w:eastAsia="Calibri" w:hAnsi="Calibri Light" w:cs="Calibri Light"/>
              </w:rPr>
              <w:t>CT7. Analizar los cambios que favorecen el bienestar biológico, psicológico y social como parte integral del bienestar colectivo.</w:t>
            </w:r>
          </w:p>
          <w:p w14:paraId="2E2980AA" w14:textId="77777777" w:rsidR="00FB154F" w:rsidRPr="00FB154F" w:rsidRDefault="00FB154F" w:rsidP="00FB154F">
            <w:pPr>
              <w:tabs>
                <w:tab w:val="left" w:pos="3345"/>
                <w:tab w:val="center" w:pos="4419"/>
              </w:tabs>
              <w:spacing w:after="200" w:line="276" w:lineRule="auto"/>
              <w:jc w:val="both"/>
              <w:rPr>
                <w:rFonts w:ascii="Calibri Light" w:eastAsia="Calibri" w:hAnsi="Calibri Light" w:cs="Calibri Light"/>
                <w:lang w:val="es-MX"/>
              </w:rPr>
            </w:pPr>
          </w:p>
        </w:tc>
      </w:tr>
      <w:tr w:rsidR="00FB154F" w:rsidRPr="00FB154F" w14:paraId="4F6946C4" w14:textId="77777777" w:rsidTr="00FB154F">
        <w:trPr>
          <w:trHeight w:val="567"/>
        </w:trPr>
        <w:tc>
          <w:tcPr>
            <w:tcW w:w="1154" w:type="pct"/>
            <w:tcBorders>
              <w:top w:val="single" w:sz="4" w:space="0" w:color="000000"/>
              <w:left w:val="single" w:sz="4" w:space="0" w:color="000000"/>
              <w:bottom w:val="single" w:sz="4" w:space="0" w:color="000000"/>
              <w:right w:val="single" w:sz="4" w:space="0" w:color="auto"/>
            </w:tcBorders>
            <w:vAlign w:val="center"/>
            <w:hideMark/>
          </w:tcPr>
          <w:p w14:paraId="08C279EA" w14:textId="77777777"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sz w:val="22"/>
                <w:szCs w:val="22"/>
                <w:lang w:val="es-MX"/>
              </w:rPr>
              <w:lastRenderedPageBreak/>
              <w:t>Progresión 2.</w:t>
            </w:r>
          </w:p>
        </w:tc>
        <w:tc>
          <w:tcPr>
            <w:tcW w:w="3846" w:type="pct"/>
            <w:tcBorders>
              <w:top w:val="single" w:sz="4" w:space="0" w:color="000000"/>
              <w:left w:val="single" w:sz="4" w:space="0" w:color="auto"/>
              <w:bottom w:val="single" w:sz="4" w:space="0" w:color="000000"/>
              <w:right w:val="single" w:sz="4" w:space="0" w:color="000000"/>
            </w:tcBorders>
            <w:vAlign w:val="center"/>
            <w:hideMark/>
          </w:tcPr>
          <w:p w14:paraId="27CBC5A0" w14:textId="22C769DF" w:rsidR="00FB154F" w:rsidRPr="00FB154F" w:rsidRDefault="008A1B57" w:rsidP="00FB154F">
            <w:pPr>
              <w:spacing w:before="100" w:beforeAutospacing="1" w:after="100" w:afterAutospacing="1" w:line="288" w:lineRule="atLeast"/>
              <w:rPr>
                <w:rFonts w:ascii="Calibri Light" w:eastAsia="Times New Roman" w:hAnsi="Calibri Light" w:cs="Calibri Light"/>
                <w:lang w:val="es-MX"/>
              </w:rPr>
            </w:pPr>
            <w:r w:rsidRPr="008A1B57">
              <w:rPr>
                <w:rFonts w:ascii="Calibri Light" w:eastAsia="Times New Roman" w:hAnsi="Calibri Light" w:cs="Calibri Light"/>
              </w:rPr>
              <w:t xml:space="preserve">Las personas informadas sobre sus derechos a la salud y los programas disponibles de las instituciones de salud pública y </w:t>
            </w:r>
            <w:proofErr w:type="gramStart"/>
            <w:r w:rsidRPr="008A1B57">
              <w:rPr>
                <w:rFonts w:ascii="Calibri Light" w:eastAsia="Times New Roman" w:hAnsi="Calibri Light" w:cs="Calibri Light"/>
              </w:rPr>
              <w:t>privada,</w:t>
            </w:r>
            <w:proofErr w:type="gramEnd"/>
            <w:r w:rsidRPr="008A1B57">
              <w:rPr>
                <w:rFonts w:ascii="Calibri Light" w:eastAsia="Times New Roman" w:hAnsi="Calibri Light" w:cs="Calibri Light"/>
              </w:rPr>
              <w:t xml:space="preserve"> tendrán mayor capacidad para acceder a la atención adecuada, lo que contribuirá al mantenimiento de la salud individual y colectiva.</w:t>
            </w:r>
          </w:p>
        </w:tc>
      </w:tr>
      <w:tr w:rsidR="00FB154F" w:rsidRPr="00FB154F" w14:paraId="548FEAB5"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14CCBD86" w14:textId="77777777" w:rsidR="00FB154F" w:rsidRDefault="00FB154F" w:rsidP="00FB154F">
            <w:pPr>
              <w:tabs>
                <w:tab w:val="left" w:pos="3345"/>
                <w:tab w:val="center" w:pos="4419"/>
              </w:tabs>
              <w:spacing w:after="200" w:line="276" w:lineRule="auto"/>
              <w:rPr>
                <w:rFonts w:ascii="Calibri" w:eastAsia="Calibri" w:hAnsi="Calibri" w:cs="Times New Roman"/>
                <w:sz w:val="22"/>
                <w:szCs w:val="22"/>
                <w:lang w:val="es-MX"/>
              </w:rPr>
            </w:pPr>
            <w:r w:rsidRPr="00FB154F">
              <w:rPr>
                <w:rFonts w:ascii="Calibri" w:eastAsia="Calibri" w:hAnsi="Calibri" w:cs="Times New Roman"/>
                <w:sz w:val="22"/>
                <w:szCs w:val="22"/>
                <w:lang w:val="es-MX"/>
              </w:rPr>
              <w:t xml:space="preserve">CONCEPTOS </w:t>
            </w:r>
          </w:p>
          <w:p w14:paraId="367A2ED6" w14:textId="2750C32E" w:rsidR="008A1B57" w:rsidRDefault="008A1B57" w:rsidP="00FB154F">
            <w:pPr>
              <w:tabs>
                <w:tab w:val="left" w:pos="3345"/>
                <w:tab w:val="center" w:pos="4419"/>
              </w:tabs>
              <w:spacing w:after="200" w:line="276" w:lineRule="auto"/>
              <w:rPr>
                <w:rFonts w:ascii="Calibri" w:eastAsia="Calibri" w:hAnsi="Calibri" w:cs="Times New Roman"/>
                <w:sz w:val="22"/>
                <w:szCs w:val="22"/>
              </w:rPr>
            </w:pPr>
            <w:r w:rsidRPr="008A1B57">
              <w:rPr>
                <w:rFonts w:ascii="Calibri" w:eastAsia="Calibri" w:hAnsi="Calibri" w:cs="Times New Roman"/>
                <w:sz w:val="22"/>
                <w:szCs w:val="22"/>
              </w:rPr>
              <w:t>CC. Bienestar biopsicosocial: higiene colectiva, epidemiología, salud pública y responsabilidad social.</w:t>
            </w:r>
          </w:p>
          <w:p w14:paraId="46E96755" w14:textId="100CB49C" w:rsidR="008A1B57" w:rsidRDefault="00DF7DC2" w:rsidP="00FB154F">
            <w:pPr>
              <w:tabs>
                <w:tab w:val="left" w:pos="3345"/>
                <w:tab w:val="center" w:pos="4419"/>
              </w:tabs>
              <w:spacing w:after="200" w:line="276" w:lineRule="auto"/>
              <w:rPr>
                <w:rFonts w:ascii="Calibri" w:eastAsia="Calibri" w:hAnsi="Calibri" w:cs="Times New Roman"/>
                <w:sz w:val="22"/>
                <w:szCs w:val="22"/>
              </w:rPr>
            </w:pPr>
            <w:r>
              <w:rPr>
                <w:rFonts w:ascii="Calibri" w:eastAsia="Calibri" w:hAnsi="Calibri" w:cs="Times New Roman"/>
                <w:sz w:val="22"/>
                <w:szCs w:val="22"/>
              </w:rPr>
              <w:t>-</w:t>
            </w:r>
            <w:r w:rsidR="008A1B57" w:rsidRPr="008A1B57">
              <w:rPr>
                <w:rFonts w:ascii="Calibri" w:eastAsia="Calibri" w:hAnsi="Calibri" w:cs="Times New Roman"/>
                <w:sz w:val="22"/>
                <w:szCs w:val="22"/>
              </w:rPr>
              <w:t>CT1. Patrones</w:t>
            </w:r>
          </w:p>
          <w:p w14:paraId="4A773330" w14:textId="5279779F" w:rsidR="008A1B57" w:rsidRDefault="00DF7DC2" w:rsidP="00FB154F">
            <w:pPr>
              <w:tabs>
                <w:tab w:val="left" w:pos="3345"/>
                <w:tab w:val="center" w:pos="4419"/>
              </w:tabs>
              <w:spacing w:after="200" w:line="276" w:lineRule="auto"/>
              <w:rPr>
                <w:rFonts w:ascii="Calibri" w:eastAsia="Calibri" w:hAnsi="Calibri" w:cs="Times New Roman"/>
                <w:sz w:val="22"/>
                <w:szCs w:val="22"/>
              </w:rPr>
            </w:pPr>
            <w:r>
              <w:rPr>
                <w:rFonts w:ascii="Calibri" w:eastAsia="Calibri" w:hAnsi="Calibri" w:cs="Times New Roman"/>
                <w:sz w:val="22"/>
                <w:szCs w:val="22"/>
              </w:rPr>
              <w:t>-</w:t>
            </w:r>
            <w:r w:rsidR="008A1B57" w:rsidRPr="008A1B57">
              <w:rPr>
                <w:rFonts w:ascii="Calibri" w:eastAsia="Calibri" w:hAnsi="Calibri" w:cs="Times New Roman"/>
                <w:sz w:val="22"/>
                <w:szCs w:val="22"/>
              </w:rPr>
              <w:t>CT2. Causa y efecto</w:t>
            </w:r>
          </w:p>
          <w:p w14:paraId="47594569" w14:textId="18EEFC62" w:rsidR="008A1B57" w:rsidRDefault="00DF7DC2" w:rsidP="00FB154F">
            <w:pPr>
              <w:tabs>
                <w:tab w:val="left" w:pos="3345"/>
                <w:tab w:val="center" w:pos="4419"/>
              </w:tabs>
              <w:spacing w:after="200" w:line="276" w:lineRule="auto"/>
              <w:rPr>
                <w:rFonts w:ascii="Calibri" w:eastAsia="Calibri" w:hAnsi="Calibri" w:cs="Times New Roman"/>
                <w:sz w:val="22"/>
                <w:szCs w:val="22"/>
              </w:rPr>
            </w:pPr>
            <w:r>
              <w:rPr>
                <w:rFonts w:ascii="Calibri" w:eastAsia="Calibri" w:hAnsi="Calibri" w:cs="Times New Roman"/>
                <w:sz w:val="22"/>
                <w:szCs w:val="22"/>
              </w:rPr>
              <w:t>-</w:t>
            </w:r>
            <w:r w:rsidR="008A1B57" w:rsidRPr="008A1B57">
              <w:rPr>
                <w:rFonts w:ascii="Calibri" w:eastAsia="Calibri" w:hAnsi="Calibri" w:cs="Times New Roman"/>
                <w:sz w:val="22"/>
                <w:szCs w:val="22"/>
              </w:rPr>
              <w:t>CT3. Medición</w:t>
            </w:r>
          </w:p>
          <w:p w14:paraId="4E2E6709" w14:textId="23550B7A" w:rsidR="008A1B57" w:rsidRDefault="00DF7DC2" w:rsidP="00FB154F">
            <w:pPr>
              <w:tabs>
                <w:tab w:val="left" w:pos="3345"/>
                <w:tab w:val="center" w:pos="4419"/>
              </w:tabs>
              <w:spacing w:after="200" w:line="276" w:lineRule="auto"/>
              <w:rPr>
                <w:rFonts w:ascii="Calibri" w:eastAsia="Calibri" w:hAnsi="Calibri" w:cs="Times New Roman"/>
                <w:sz w:val="22"/>
                <w:szCs w:val="22"/>
              </w:rPr>
            </w:pPr>
            <w:r>
              <w:rPr>
                <w:rFonts w:ascii="Calibri" w:eastAsia="Calibri" w:hAnsi="Calibri" w:cs="Times New Roman"/>
                <w:sz w:val="22"/>
                <w:szCs w:val="22"/>
              </w:rPr>
              <w:t>-</w:t>
            </w:r>
            <w:r w:rsidR="008A1B57" w:rsidRPr="008A1B57">
              <w:rPr>
                <w:rFonts w:ascii="Calibri" w:eastAsia="Calibri" w:hAnsi="Calibri" w:cs="Times New Roman"/>
                <w:sz w:val="22"/>
                <w:szCs w:val="22"/>
              </w:rPr>
              <w:t>CT4. Sistemas</w:t>
            </w:r>
          </w:p>
          <w:p w14:paraId="49594304" w14:textId="10A612ED" w:rsidR="008A1B57" w:rsidRPr="00FB154F" w:rsidRDefault="00DF7DC2" w:rsidP="00FB154F">
            <w:pPr>
              <w:tabs>
                <w:tab w:val="left" w:pos="3345"/>
                <w:tab w:val="center" w:pos="4419"/>
              </w:tabs>
              <w:spacing w:after="200" w:line="276" w:lineRule="auto"/>
              <w:rPr>
                <w:rFonts w:ascii="Calibri" w:eastAsia="Calibri" w:hAnsi="Calibri" w:cs="Times New Roman"/>
                <w:sz w:val="22"/>
                <w:szCs w:val="22"/>
                <w:lang w:val="es-MX"/>
              </w:rPr>
            </w:pPr>
            <w:r>
              <w:rPr>
                <w:rFonts w:ascii="Calibri" w:eastAsia="Calibri" w:hAnsi="Calibri" w:cs="Times New Roman"/>
                <w:sz w:val="22"/>
                <w:szCs w:val="22"/>
              </w:rPr>
              <w:t>-</w:t>
            </w:r>
            <w:r w:rsidR="008A1B57" w:rsidRPr="008A1B57">
              <w:rPr>
                <w:rFonts w:ascii="Calibri" w:eastAsia="Calibri" w:hAnsi="Calibri" w:cs="Times New Roman"/>
                <w:sz w:val="22"/>
                <w:szCs w:val="22"/>
              </w:rPr>
              <w:t>CT6. Estructura y función</w:t>
            </w:r>
          </w:p>
          <w:p w14:paraId="0D8F7BE0" w14:textId="0C5B7A9E"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p>
        </w:tc>
      </w:tr>
      <w:tr w:rsidR="00FB154F" w:rsidRPr="00FB154F" w14:paraId="15CF1620"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302C13A5" w14:textId="7918E07F" w:rsidR="00FB154F" w:rsidRDefault="00FB154F" w:rsidP="00FB154F">
            <w:pPr>
              <w:tabs>
                <w:tab w:val="left" w:pos="3345"/>
                <w:tab w:val="center" w:pos="4419"/>
              </w:tabs>
              <w:spacing w:after="200" w:line="276" w:lineRule="auto"/>
              <w:rPr>
                <w:rFonts w:ascii="Calibri Light" w:eastAsia="Calibri" w:hAnsi="Calibri Light" w:cs="Calibri Light"/>
              </w:rPr>
            </w:pPr>
            <w:r w:rsidRPr="00FB154F">
              <w:rPr>
                <w:rFonts w:ascii="Calibri Light" w:eastAsia="Calibri" w:hAnsi="Calibri Light" w:cs="Calibri Light"/>
                <w:lang w:val="es-MX"/>
              </w:rPr>
              <w:t xml:space="preserve">METAS </w:t>
            </w:r>
            <w:r w:rsidR="008A1B57" w:rsidRPr="008A1B57">
              <w:rPr>
                <w:rFonts w:ascii="Calibri Light" w:eastAsia="Calibri" w:hAnsi="Calibri Light" w:cs="Calibri Light"/>
              </w:rPr>
              <w:t>CC. Comprende que la salud pública es fundamental para contener el desarrollo y propagación de enfermedades, ya que atiende de forma ética y responsable los indicadores epidemiológicos derivados de factores biopsicosociales y con apoyo de la medicina tradicional y la tecnología desarrolla estrategias que promueven el bienestar integral y el acceso equitativo a servicios de salud en la población.</w:t>
            </w:r>
          </w:p>
          <w:p w14:paraId="40189799" w14:textId="4E30CC23" w:rsidR="008A1B57" w:rsidRDefault="00DF7DC2" w:rsidP="00FB154F">
            <w:pPr>
              <w:tabs>
                <w:tab w:val="left" w:pos="3345"/>
                <w:tab w:val="center" w:pos="4419"/>
              </w:tabs>
              <w:spacing w:after="200" w:line="276" w:lineRule="auto"/>
              <w:rPr>
                <w:rFonts w:ascii="Calibri Light" w:eastAsia="Calibri" w:hAnsi="Calibri Light" w:cs="Calibri Light"/>
              </w:rPr>
            </w:pPr>
            <w:r>
              <w:rPr>
                <w:rFonts w:ascii="Calibri Light" w:eastAsia="Calibri" w:hAnsi="Calibri Light" w:cs="Calibri Light"/>
              </w:rPr>
              <w:t>-</w:t>
            </w:r>
            <w:r w:rsidR="008A1B57" w:rsidRPr="008A1B57">
              <w:rPr>
                <w:rFonts w:ascii="Calibri Light" w:eastAsia="Calibri" w:hAnsi="Calibri Light" w:cs="Calibri Light"/>
              </w:rPr>
              <w:t>CT1. Reconoce que los servicios y programas de salud abarcan dimensiones biológicas, psicológicas y sociales, y que su integración es fundamental para el bienestar biopsicosocial.</w:t>
            </w:r>
          </w:p>
          <w:p w14:paraId="50F50C6E" w14:textId="411443D7" w:rsidR="008A1B57" w:rsidRDefault="00DF7DC2" w:rsidP="00FB154F">
            <w:pPr>
              <w:tabs>
                <w:tab w:val="left" w:pos="3345"/>
                <w:tab w:val="center" w:pos="4419"/>
              </w:tabs>
              <w:spacing w:after="200" w:line="276" w:lineRule="auto"/>
              <w:rPr>
                <w:rFonts w:ascii="Calibri Light" w:eastAsia="Calibri" w:hAnsi="Calibri Light" w:cs="Calibri Light"/>
              </w:rPr>
            </w:pPr>
            <w:r>
              <w:rPr>
                <w:rFonts w:ascii="Calibri Light" w:eastAsia="Calibri" w:hAnsi="Calibri Light" w:cs="Calibri Light"/>
              </w:rPr>
              <w:t>-</w:t>
            </w:r>
            <w:r w:rsidR="008A1B57" w:rsidRPr="008A1B57">
              <w:rPr>
                <w:rFonts w:ascii="Calibri Light" w:eastAsia="Calibri" w:hAnsi="Calibri Light" w:cs="Calibri Light"/>
              </w:rPr>
              <w:t>CT2. Establece la relación entre la salud individual y colectiva con el acceso a la información y los niveles de atención y reconoce que existe una organización</w:t>
            </w:r>
          </w:p>
          <w:p w14:paraId="62BAE96A" w14:textId="417B62E0" w:rsidR="008A1B57" w:rsidRDefault="00DF7DC2" w:rsidP="00FB154F">
            <w:pPr>
              <w:tabs>
                <w:tab w:val="left" w:pos="3345"/>
                <w:tab w:val="center" w:pos="4419"/>
              </w:tabs>
              <w:spacing w:after="200" w:line="276" w:lineRule="auto"/>
              <w:rPr>
                <w:rFonts w:ascii="Calibri Light" w:eastAsia="Calibri" w:hAnsi="Calibri Light" w:cs="Calibri Light"/>
              </w:rPr>
            </w:pPr>
            <w:r>
              <w:rPr>
                <w:rFonts w:ascii="Calibri Light" w:eastAsia="Calibri" w:hAnsi="Calibri Light" w:cs="Calibri Light"/>
              </w:rPr>
              <w:lastRenderedPageBreak/>
              <w:t>-</w:t>
            </w:r>
            <w:r w:rsidR="008A1B57" w:rsidRPr="008A1B57">
              <w:rPr>
                <w:rFonts w:ascii="Calibri Light" w:eastAsia="Calibri" w:hAnsi="Calibri Light" w:cs="Calibri Light"/>
              </w:rPr>
              <w:t>CT3. Realiza investigación y estadificación de la población que tiene acceso a los servicios públicos de salud en México, su estado y su comunidad.</w:t>
            </w:r>
          </w:p>
          <w:p w14:paraId="75D4C927" w14:textId="358D0810" w:rsidR="008A1B57" w:rsidRDefault="00DF7DC2" w:rsidP="00FB154F">
            <w:pPr>
              <w:tabs>
                <w:tab w:val="left" w:pos="3345"/>
                <w:tab w:val="center" w:pos="4419"/>
              </w:tabs>
              <w:spacing w:after="200" w:line="276" w:lineRule="auto"/>
              <w:rPr>
                <w:rFonts w:ascii="Calibri Light" w:eastAsia="Calibri" w:hAnsi="Calibri Light" w:cs="Calibri Light"/>
              </w:rPr>
            </w:pPr>
            <w:r>
              <w:rPr>
                <w:rFonts w:ascii="Calibri Light" w:eastAsia="Calibri" w:hAnsi="Calibri Light" w:cs="Calibri Light"/>
              </w:rPr>
              <w:t>-</w:t>
            </w:r>
            <w:r w:rsidR="008A1B57" w:rsidRPr="008A1B57">
              <w:rPr>
                <w:rFonts w:ascii="Calibri Light" w:eastAsia="Calibri" w:hAnsi="Calibri Light" w:cs="Calibri Light"/>
              </w:rPr>
              <w:t>CT4. Identifica que los servicios de salud están organizados sistemáticamente y esta organización a su vez funciona de manera jerárquica.</w:t>
            </w:r>
          </w:p>
          <w:p w14:paraId="2AB2B82C" w14:textId="7BD1897D" w:rsidR="008A1B57" w:rsidRPr="00FB154F" w:rsidRDefault="00DF7DC2" w:rsidP="00FB154F">
            <w:pPr>
              <w:tabs>
                <w:tab w:val="left" w:pos="3345"/>
                <w:tab w:val="center" w:pos="4419"/>
              </w:tabs>
              <w:spacing w:after="200" w:line="276" w:lineRule="auto"/>
              <w:rPr>
                <w:rFonts w:ascii="Calibri Light" w:eastAsia="Calibri" w:hAnsi="Calibri Light" w:cs="Calibri Light"/>
                <w:lang w:val="es-MX"/>
              </w:rPr>
            </w:pPr>
            <w:r>
              <w:rPr>
                <w:rFonts w:ascii="Calibri Light" w:eastAsia="Calibri" w:hAnsi="Calibri Light" w:cs="Calibri Light"/>
              </w:rPr>
              <w:t>-C</w:t>
            </w:r>
            <w:r w:rsidR="008A1B57" w:rsidRPr="008A1B57">
              <w:rPr>
                <w:rFonts w:ascii="Calibri Light" w:eastAsia="Calibri" w:hAnsi="Calibri Light" w:cs="Calibri Light"/>
              </w:rPr>
              <w:t>T6. Comprende que las funciones de los servicios de salud en México obedecen a la estructura jerárquica de los niveles de prevención y atención.</w:t>
            </w:r>
          </w:p>
          <w:p w14:paraId="25FA7E61" w14:textId="2C7BC04A"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p>
        </w:tc>
      </w:tr>
      <w:tr w:rsidR="00FB154F" w:rsidRPr="00FB154F" w14:paraId="246165B1" w14:textId="77777777" w:rsidTr="00FB154F">
        <w:tc>
          <w:tcPr>
            <w:tcW w:w="1154" w:type="pct"/>
            <w:tcBorders>
              <w:top w:val="single" w:sz="4" w:space="0" w:color="000000"/>
              <w:left w:val="single" w:sz="4" w:space="0" w:color="000000"/>
              <w:bottom w:val="single" w:sz="4" w:space="0" w:color="000000"/>
              <w:right w:val="single" w:sz="4" w:space="0" w:color="auto"/>
            </w:tcBorders>
            <w:vAlign w:val="center"/>
            <w:hideMark/>
          </w:tcPr>
          <w:p w14:paraId="449076A8" w14:textId="77777777"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lastRenderedPageBreak/>
              <w:t>Progresión     3</w:t>
            </w:r>
          </w:p>
        </w:tc>
        <w:tc>
          <w:tcPr>
            <w:tcW w:w="3846" w:type="pct"/>
            <w:tcBorders>
              <w:top w:val="single" w:sz="4" w:space="0" w:color="000000"/>
              <w:left w:val="single" w:sz="4" w:space="0" w:color="auto"/>
              <w:bottom w:val="single" w:sz="4" w:space="0" w:color="000000"/>
              <w:right w:val="single" w:sz="4" w:space="0" w:color="000000"/>
            </w:tcBorders>
            <w:vAlign w:val="center"/>
            <w:hideMark/>
          </w:tcPr>
          <w:p w14:paraId="7524EB3C" w14:textId="04900CEB" w:rsidR="00FB154F" w:rsidRPr="00FB154F" w:rsidRDefault="008A1B57" w:rsidP="00FB154F">
            <w:pPr>
              <w:tabs>
                <w:tab w:val="left" w:pos="3345"/>
                <w:tab w:val="center" w:pos="4419"/>
              </w:tabs>
              <w:spacing w:after="200" w:line="276" w:lineRule="auto"/>
              <w:rPr>
                <w:rFonts w:ascii="Calibri Light" w:eastAsia="Calibri" w:hAnsi="Calibri Light" w:cs="Calibri Light"/>
                <w:lang w:val="es-MX"/>
              </w:rPr>
            </w:pPr>
            <w:r w:rsidRPr="008A1B57">
              <w:rPr>
                <w:rFonts w:ascii="Calibri Light" w:eastAsia="Calibri" w:hAnsi="Calibri Light" w:cs="Calibri Light"/>
              </w:rPr>
              <w:t>A través de estudios epidemiológicos rigurosos se logra identificar, comprender y controlar las enfermedades más frecuentes, estableciendo enfoques estratégicos para su abordaje y prevención en el contexto de la salud pública.</w:t>
            </w:r>
          </w:p>
        </w:tc>
      </w:tr>
      <w:tr w:rsidR="00FB154F" w:rsidRPr="00FB154F" w14:paraId="246A22B5"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47870BBF" w14:textId="77777777" w:rsidR="00FB154F" w:rsidRPr="00FB154F" w:rsidRDefault="00FB154F" w:rsidP="00FB154F">
            <w:pPr>
              <w:autoSpaceDE w:val="0"/>
              <w:autoSpaceDN w:val="0"/>
              <w:adjustRightInd w:val="0"/>
              <w:spacing w:line="256" w:lineRule="auto"/>
              <w:rPr>
                <w:rFonts w:ascii="Calibri Light" w:eastAsia="Calibri" w:hAnsi="Calibri Light" w:cs="Calibri Light"/>
                <w:lang w:val="es-MX"/>
              </w:rPr>
            </w:pPr>
          </w:p>
          <w:p w14:paraId="22DA6D10" w14:textId="762C4629" w:rsidR="00FB154F" w:rsidRDefault="00FB154F" w:rsidP="00FB154F">
            <w:pPr>
              <w:autoSpaceDE w:val="0"/>
              <w:autoSpaceDN w:val="0"/>
              <w:adjustRightInd w:val="0"/>
              <w:spacing w:line="256" w:lineRule="auto"/>
              <w:rPr>
                <w:rFonts w:ascii="Calibri Light" w:eastAsia="Calibri" w:hAnsi="Calibri Light" w:cs="Calibri Light"/>
                <w:lang w:val="es-MX"/>
              </w:rPr>
            </w:pPr>
            <w:r w:rsidRPr="00FB154F">
              <w:rPr>
                <w:rFonts w:ascii="Calibri Light" w:eastAsia="Calibri" w:hAnsi="Calibri Light" w:cs="Calibri Light"/>
                <w:lang w:val="es-MX"/>
              </w:rPr>
              <w:t>CONCEPTOS</w:t>
            </w:r>
          </w:p>
          <w:p w14:paraId="7AF11808" w14:textId="30948569" w:rsidR="008A1B57" w:rsidRDefault="00DF7DC2" w:rsidP="00FB154F">
            <w:pPr>
              <w:autoSpaceDE w:val="0"/>
              <w:autoSpaceDN w:val="0"/>
              <w:adjustRightInd w:val="0"/>
              <w:spacing w:line="256" w:lineRule="auto"/>
              <w:rPr>
                <w:rFonts w:ascii="Calibri Light" w:eastAsia="Calibri" w:hAnsi="Calibri Light" w:cs="Calibri Light"/>
              </w:rPr>
            </w:pPr>
            <w:r>
              <w:rPr>
                <w:rFonts w:ascii="Calibri Light" w:eastAsia="Calibri" w:hAnsi="Calibri Light" w:cs="Calibri Light"/>
              </w:rPr>
              <w:t>-</w:t>
            </w:r>
            <w:r w:rsidR="008A1B57" w:rsidRPr="008A1B57">
              <w:rPr>
                <w:rFonts w:ascii="Calibri Light" w:eastAsia="Calibri" w:hAnsi="Calibri Light" w:cs="Calibri Light"/>
              </w:rPr>
              <w:t>CC. Bienestar biopsicosocial: higiene colectiva, epidemiología, salud pública y responsabilidad social.</w:t>
            </w:r>
          </w:p>
          <w:p w14:paraId="670BBCCA" w14:textId="4CCED081" w:rsidR="008A1B57" w:rsidRPr="00FB154F" w:rsidRDefault="00DF7DC2" w:rsidP="00FB154F">
            <w:pPr>
              <w:autoSpaceDE w:val="0"/>
              <w:autoSpaceDN w:val="0"/>
              <w:adjustRightInd w:val="0"/>
              <w:spacing w:line="256" w:lineRule="auto"/>
              <w:rPr>
                <w:rFonts w:ascii="Calibri Light" w:eastAsia="Calibri" w:hAnsi="Calibri Light" w:cs="Calibri Light"/>
                <w:lang w:val="es-MX"/>
              </w:rPr>
            </w:pPr>
            <w:r>
              <w:rPr>
                <w:rFonts w:ascii="Calibri Light" w:eastAsia="Calibri" w:hAnsi="Calibri Light" w:cs="Calibri Light"/>
              </w:rPr>
              <w:t>-</w:t>
            </w:r>
            <w:r w:rsidR="008A1B57" w:rsidRPr="008A1B57">
              <w:rPr>
                <w:rFonts w:ascii="Calibri Light" w:eastAsia="Calibri" w:hAnsi="Calibri Light" w:cs="Calibri Light"/>
              </w:rPr>
              <w:t>CT1. Patrones</w:t>
            </w:r>
            <w:r w:rsidR="008A1B57">
              <w:rPr>
                <w:rFonts w:ascii="Calibri Light" w:eastAsia="Calibri" w:hAnsi="Calibri Light" w:cs="Calibri Light"/>
              </w:rPr>
              <w:t xml:space="preserve">, </w:t>
            </w:r>
            <w:r w:rsidR="008A1B57" w:rsidRPr="008A1B57">
              <w:rPr>
                <w:rFonts w:ascii="Calibri Light" w:eastAsia="Calibri" w:hAnsi="Calibri Light" w:cs="Calibri Light"/>
              </w:rPr>
              <w:t>CT2. Causa y efecto</w:t>
            </w:r>
            <w:r w:rsidR="008A1B57">
              <w:rPr>
                <w:rFonts w:ascii="Calibri Light" w:eastAsia="Calibri" w:hAnsi="Calibri Light" w:cs="Calibri Light"/>
              </w:rPr>
              <w:t xml:space="preserve">, </w:t>
            </w:r>
            <w:r w:rsidR="008A1B57" w:rsidRPr="008A1B57">
              <w:rPr>
                <w:rFonts w:ascii="Calibri Light" w:eastAsia="Calibri" w:hAnsi="Calibri Light" w:cs="Calibri Light"/>
              </w:rPr>
              <w:t>CT3. Medición</w:t>
            </w:r>
            <w:r w:rsidR="008A1B57">
              <w:rPr>
                <w:rFonts w:ascii="Calibri Light" w:eastAsia="Calibri" w:hAnsi="Calibri Light" w:cs="Calibri Light"/>
              </w:rPr>
              <w:t xml:space="preserve">, </w:t>
            </w:r>
            <w:r w:rsidR="008A1B57" w:rsidRPr="008A1B57">
              <w:rPr>
                <w:rFonts w:ascii="Calibri Light" w:eastAsia="Calibri" w:hAnsi="Calibri Light" w:cs="Calibri Light"/>
              </w:rPr>
              <w:t>CT6. Estructura y función</w:t>
            </w:r>
            <w:r w:rsidR="008A1B57">
              <w:rPr>
                <w:rFonts w:ascii="Calibri Light" w:eastAsia="Calibri" w:hAnsi="Calibri Light" w:cs="Calibri Light"/>
              </w:rPr>
              <w:t xml:space="preserve">, </w:t>
            </w:r>
            <w:r w:rsidR="008A1B57" w:rsidRPr="008A1B57">
              <w:rPr>
                <w:rFonts w:ascii="Calibri Light" w:eastAsia="Calibri" w:hAnsi="Calibri Light" w:cs="Calibri Light"/>
              </w:rPr>
              <w:t>CT7. Estabilidad y cambio</w:t>
            </w:r>
          </w:p>
          <w:p w14:paraId="3096CE03" w14:textId="065F692E"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p>
        </w:tc>
      </w:tr>
      <w:tr w:rsidR="00FB154F" w:rsidRPr="00FB154F" w14:paraId="5FCEE9A3"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65475B79" w14:textId="77777777" w:rsid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t xml:space="preserve">METAS </w:t>
            </w:r>
          </w:p>
          <w:p w14:paraId="7CF9261A" w14:textId="3521CA04" w:rsidR="008A1B57" w:rsidRDefault="00DF7DC2" w:rsidP="00FB154F">
            <w:pPr>
              <w:tabs>
                <w:tab w:val="left" w:pos="3345"/>
                <w:tab w:val="center" w:pos="4419"/>
              </w:tabs>
              <w:spacing w:after="200" w:line="276" w:lineRule="auto"/>
              <w:rPr>
                <w:rFonts w:ascii="Calibri Light" w:eastAsia="Calibri" w:hAnsi="Calibri Light" w:cs="Calibri Light"/>
              </w:rPr>
            </w:pPr>
            <w:r>
              <w:rPr>
                <w:rFonts w:ascii="Calibri Light" w:eastAsia="Calibri" w:hAnsi="Calibri Light" w:cs="Calibri Light"/>
              </w:rPr>
              <w:t>-</w:t>
            </w:r>
            <w:r w:rsidR="008A1B57" w:rsidRPr="008A1B57">
              <w:rPr>
                <w:rFonts w:ascii="Calibri Light" w:eastAsia="Calibri" w:hAnsi="Calibri Light" w:cs="Calibri Light"/>
              </w:rPr>
              <w:t>CC. Comprende que la salud pública es fundamental para contener el desarrollo y propagación de enfermedades, ya que atiende de forma ética y responsable los indicadores epidemiológicos derivados de factores biopsicosociales y con apoyo de la medicina tradicional y la tecnología desarrolla estrategias que promueven el bienestar integral y el acceso equitativo a servicios de salud en la población.</w:t>
            </w:r>
          </w:p>
          <w:p w14:paraId="0DCF3CEB" w14:textId="77777777" w:rsidR="008A1B57" w:rsidRDefault="008A1B57" w:rsidP="00FB154F">
            <w:pPr>
              <w:tabs>
                <w:tab w:val="left" w:pos="3345"/>
                <w:tab w:val="center" w:pos="4419"/>
              </w:tabs>
              <w:spacing w:after="200" w:line="276" w:lineRule="auto"/>
              <w:rPr>
                <w:rFonts w:ascii="Calibri Light" w:eastAsia="Calibri" w:hAnsi="Calibri Light" w:cs="Calibri Light"/>
              </w:rPr>
            </w:pPr>
            <w:r w:rsidRPr="008A1B57">
              <w:rPr>
                <w:rFonts w:ascii="Calibri Light" w:eastAsia="Calibri" w:hAnsi="Calibri Light" w:cs="Calibri Light"/>
              </w:rPr>
              <w:t>CT1. Identificar que a través de los patrones de las enfermedades se puede predecir su comportamiento epidemiológico.</w:t>
            </w:r>
          </w:p>
          <w:p w14:paraId="05328756" w14:textId="77777777" w:rsidR="008A1B57" w:rsidRDefault="008A1B57" w:rsidP="00FB154F">
            <w:pPr>
              <w:tabs>
                <w:tab w:val="left" w:pos="3345"/>
                <w:tab w:val="center" w:pos="4419"/>
              </w:tabs>
              <w:spacing w:after="200" w:line="276" w:lineRule="auto"/>
              <w:rPr>
                <w:rFonts w:ascii="Calibri Light" w:eastAsia="Calibri" w:hAnsi="Calibri Light" w:cs="Calibri Light"/>
              </w:rPr>
            </w:pPr>
            <w:r w:rsidRPr="008A1B57">
              <w:rPr>
                <w:rFonts w:ascii="Calibri Light" w:eastAsia="Calibri" w:hAnsi="Calibri Light" w:cs="Calibri Light"/>
              </w:rPr>
              <w:t>CT2. Analizan de manera básica algunos datos epidemiológicos para identificar las enfermedades más frecuentes de su población.</w:t>
            </w:r>
          </w:p>
          <w:p w14:paraId="13EAC67C" w14:textId="77777777" w:rsidR="008A1B57" w:rsidRDefault="00706E35" w:rsidP="00FB154F">
            <w:pPr>
              <w:tabs>
                <w:tab w:val="left" w:pos="3345"/>
                <w:tab w:val="center" w:pos="4419"/>
              </w:tabs>
              <w:spacing w:after="200" w:line="276" w:lineRule="auto"/>
              <w:rPr>
                <w:rFonts w:ascii="Calibri Light" w:eastAsia="Calibri" w:hAnsi="Calibri Light" w:cs="Calibri Light"/>
              </w:rPr>
            </w:pPr>
            <w:r w:rsidRPr="00706E35">
              <w:rPr>
                <w:rFonts w:ascii="Calibri Light" w:eastAsia="Calibri" w:hAnsi="Calibri Light" w:cs="Calibri Light"/>
              </w:rPr>
              <w:t>CT3. Comprender que mediante la medición se puede conocer los niveles de incidencia y prevalencia de las enfermedades, lo que facilita el desarrollo de estrategias de control y prevención.</w:t>
            </w:r>
          </w:p>
          <w:p w14:paraId="520B9563" w14:textId="77777777" w:rsidR="00706E35" w:rsidRDefault="00706E35" w:rsidP="00FB154F">
            <w:pPr>
              <w:tabs>
                <w:tab w:val="left" w:pos="3345"/>
                <w:tab w:val="center" w:pos="4419"/>
              </w:tabs>
              <w:spacing w:after="200" w:line="276" w:lineRule="auto"/>
              <w:rPr>
                <w:rFonts w:ascii="Calibri Light" w:eastAsia="Calibri" w:hAnsi="Calibri Light" w:cs="Calibri Light"/>
              </w:rPr>
            </w:pPr>
            <w:r w:rsidRPr="00706E35">
              <w:rPr>
                <w:rFonts w:ascii="Calibri Light" w:eastAsia="Calibri" w:hAnsi="Calibri Light" w:cs="Calibri Light"/>
              </w:rPr>
              <w:lastRenderedPageBreak/>
              <w:t>CT6. Identificar que los estudios epidemiológicos poseen una estructura científica establecida que permite conocer las enfermedades más comunes de la sociedad y con ello favorecer la prevención mediante la salud pública.</w:t>
            </w:r>
          </w:p>
          <w:p w14:paraId="33B27212" w14:textId="273AB083" w:rsidR="00706E35" w:rsidRPr="00FB154F" w:rsidRDefault="00706E35" w:rsidP="00FB154F">
            <w:pPr>
              <w:tabs>
                <w:tab w:val="left" w:pos="3345"/>
                <w:tab w:val="center" w:pos="4419"/>
              </w:tabs>
              <w:spacing w:after="200" w:line="276" w:lineRule="auto"/>
              <w:rPr>
                <w:rFonts w:ascii="Calibri Light" w:eastAsia="Calibri" w:hAnsi="Calibri Light" w:cs="Calibri Light"/>
                <w:lang w:val="es-MX"/>
              </w:rPr>
            </w:pPr>
            <w:r w:rsidRPr="00706E35">
              <w:rPr>
                <w:rFonts w:ascii="Calibri Light" w:eastAsia="Calibri" w:hAnsi="Calibri Light" w:cs="Calibri Light"/>
              </w:rPr>
              <w:t>CT7. Reconocer a la enfermedad desde diferentes contextos epidemiológicos permite la estabilidad generando un cambio en la incidencia de contagio, estableciendo un mejor control dentro de la población.</w:t>
            </w:r>
          </w:p>
        </w:tc>
      </w:tr>
      <w:tr w:rsidR="00FB154F" w:rsidRPr="00FB154F" w14:paraId="52F99106" w14:textId="77777777" w:rsidTr="00FB154F">
        <w:trPr>
          <w:trHeight w:val="567"/>
        </w:trPr>
        <w:tc>
          <w:tcPr>
            <w:tcW w:w="1154" w:type="pct"/>
            <w:tcBorders>
              <w:top w:val="single" w:sz="4" w:space="0" w:color="000000"/>
              <w:left w:val="single" w:sz="4" w:space="0" w:color="000000"/>
              <w:bottom w:val="single" w:sz="4" w:space="0" w:color="000000"/>
              <w:right w:val="single" w:sz="4" w:space="0" w:color="auto"/>
            </w:tcBorders>
            <w:vAlign w:val="center"/>
            <w:hideMark/>
          </w:tcPr>
          <w:p w14:paraId="1FE60EE6" w14:textId="77777777"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lastRenderedPageBreak/>
              <w:t>Progresión     4</w:t>
            </w:r>
          </w:p>
        </w:tc>
        <w:tc>
          <w:tcPr>
            <w:tcW w:w="3846" w:type="pct"/>
            <w:tcBorders>
              <w:top w:val="single" w:sz="4" w:space="0" w:color="000000"/>
              <w:left w:val="single" w:sz="4" w:space="0" w:color="auto"/>
              <w:bottom w:val="single" w:sz="4" w:space="0" w:color="000000"/>
              <w:right w:val="single" w:sz="4" w:space="0" w:color="000000"/>
            </w:tcBorders>
            <w:vAlign w:val="center"/>
            <w:hideMark/>
          </w:tcPr>
          <w:p w14:paraId="57D64A9F" w14:textId="12C2CF35" w:rsidR="00FB154F" w:rsidRPr="00FB154F" w:rsidRDefault="00706E35" w:rsidP="00FB154F">
            <w:pPr>
              <w:autoSpaceDE w:val="0"/>
              <w:autoSpaceDN w:val="0"/>
              <w:adjustRightInd w:val="0"/>
              <w:spacing w:line="256" w:lineRule="auto"/>
              <w:rPr>
                <w:rFonts w:ascii="Calibri" w:eastAsia="Calibri" w:hAnsi="Calibri" w:cs="Calibri"/>
                <w:color w:val="000000"/>
                <w:lang w:val="es-MX"/>
              </w:rPr>
            </w:pPr>
            <w:r w:rsidRPr="00706E35">
              <w:rPr>
                <w:rFonts w:ascii="Calibri" w:eastAsia="Calibri" w:hAnsi="Calibri" w:cs="Calibri"/>
                <w:color w:val="000000"/>
              </w:rPr>
              <w:t>La diversidad en los tipos de alimentación del ser humano y la popularidad de dietas específicas actúan como factores de riesgo para el desarrollo de obesidad, desnutrición y trastornos de la conducta alimentaria (TCA), lo que conlleva problemas de salud pública como el aumento significativo de enfermedades crónicas degenerativas y el índice de mortalidad y morbilidad. Estos factores nos conducen a evaluar desde una perspectiva epidemiológica los efectos en la salud colectiva y guiar el desarrollo de estrategias de intervención efectivas.</w:t>
            </w:r>
          </w:p>
        </w:tc>
      </w:tr>
      <w:tr w:rsidR="00FB154F" w:rsidRPr="00FB154F" w14:paraId="75097D6F"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0FEADAB7" w14:textId="2F433762" w:rsidR="00FB154F" w:rsidRPr="00706E35" w:rsidRDefault="00FB154F" w:rsidP="00FB154F">
            <w:pPr>
              <w:autoSpaceDE w:val="0"/>
              <w:autoSpaceDN w:val="0"/>
              <w:adjustRightInd w:val="0"/>
              <w:spacing w:line="256" w:lineRule="auto"/>
              <w:rPr>
                <w:rFonts w:ascii="Calibri Light" w:eastAsia="Calibri" w:hAnsi="Calibri Light" w:cs="Calibri Light"/>
                <w:lang w:val="es-MX"/>
              </w:rPr>
            </w:pPr>
            <w:r w:rsidRPr="00FB154F">
              <w:rPr>
                <w:rFonts w:ascii="Calibri Light" w:eastAsia="Calibri" w:hAnsi="Calibri Light" w:cs="Calibri Light"/>
                <w:lang w:val="es-MX"/>
              </w:rPr>
              <w:t xml:space="preserve">CONCEPTOS </w:t>
            </w:r>
            <w:r w:rsidR="00706E35" w:rsidRPr="00706E35">
              <w:rPr>
                <w:rFonts w:ascii="Calibri Light" w:eastAsia="Calibri" w:hAnsi="Calibri Light" w:cs="Calibri Light"/>
              </w:rPr>
              <w:t>CC. Bienestar biopsicosocial: higiene colectiva, epidemiología, salud pública y responsabilidad social. Concepto Transversal CT1. Patrones CT2. Causa y efecto CT3. Medición CT5. Flujo de materia y energía CT7. Estabilidad y cambio</w:t>
            </w:r>
            <w:r w:rsidR="00706E35">
              <w:rPr>
                <w:rFonts w:ascii="Calibri Light" w:eastAsia="Calibri" w:hAnsi="Calibri Light" w:cs="Calibri Light"/>
              </w:rPr>
              <w:t>.</w:t>
            </w:r>
          </w:p>
          <w:p w14:paraId="3FD54D76" w14:textId="4786DCFA" w:rsidR="00FB154F" w:rsidRPr="00FB154F" w:rsidRDefault="00FB154F" w:rsidP="00FB154F">
            <w:pPr>
              <w:autoSpaceDE w:val="0"/>
              <w:autoSpaceDN w:val="0"/>
              <w:adjustRightInd w:val="0"/>
              <w:spacing w:line="256" w:lineRule="auto"/>
              <w:rPr>
                <w:rFonts w:ascii="Calibri Light" w:eastAsia="Calibri" w:hAnsi="Calibri Light" w:cs="Calibri Light"/>
                <w:color w:val="000000"/>
                <w:lang w:val="es-MX"/>
              </w:rPr>
            </w:pPr>
          </w:p>
        </w:tc>
      </w:tr>
      <w:tr w:rsidR="00FB154F" w:rsidRPr="00FB154F" w14:paraId="34E63073"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66B27218" w14:textId="77777777" w:rsidR="00706E35" w:rsidRDefault="00FB154F" w:rsidP="00FB154F">
            <w:pPr>
              <w:tabs>
                <w:tab w:val="left" w:pos="3345"/>
                <w:tab w:val="center" w:pos="4419"/>
              </w:tabs>
              <w:spacing w:after="200" w:line="276" w:lineRule="auto"/>
              <w:rPr>
                <w:rFonts w:ascii="Calibri Light" w:eastAsia="Calibri" w:hAnsi="Calibri Light" w:cs="Calibri Light"/>
              </w:rPr>
            </w:pPr>
            <w:r w:rsidRPr="00FB154F">
              <w:rPr>
                <w:rFonts w:ascii="Calibri Light" w:eastAsia="Calibri" w:hAnsi="Calibri Light" w:cs="Calibri Light"/>
                <w:lang w:val="es-MX"/>
              </w:rPr>
              <w:t xml:space="preserve">METAS </w:t>
            </w:r>
          </w:p>
          <w:p w14:paraId="7B4965D7" w14:textId="77777777" w:rsidR="00706E35" w:rsidRDefault="00706E35" w:rsidP="00FB154F">
            <w:pPr>
              <w:tabs>
                <w:tab w:val="left" w:pos="3345"/>
                <w:tab w:val="center" w:pos="4419"/>
              </w:tabs>
              <w:spacing w:after="200" w:line="276" w:lineRule="auto"/>
              <w:rPr>
                <w:rFonts w:ascii="Calibri Light" w:eastAsia="Calibri" w:hAnsi="Calibri Light" w:cs="Calibri Light"/>
              </w:rPr>
            </w:pPr>
            <w:r w:rsidRPr="00706E35">
              <w:rPr>
                <w:rFonts w:ascii="Calibri Light" w:eastAsia="Calibri" w:hAnsi="Calibri Light" w:cs="Calibri Light"/>
              </w:rPr>
              <w:t xml:space="preserve">Metas de Aprendizaje CC. Comprende que la salud pública es fundamental para contener el desarrollo y propagación de enfermedades, ya que atiende de forma ética y responsable los indicadores epidemiológicos derivados de factores biopsicosociales y con apoyo de la medicina tradicional y la tecnología, desarrolla estrategias que promueven el bienestar integral y el acceso equitativo a servicios de salud en la población. </w:t>
            </w:r>
          </w:p>
          <w:p w14:paraId="006B714C" w14:textId="6630DADE" w:rsidR="00FB154F" w:rsidRPr="00FB154F" w:rsidRDefault="00706E35" w:rsidP="00FB154F">
            <w:pPr>
              <w:tabs>
                <w:tab w:val="left" w:pos="3345"/>
                <w:tab w:val="center" w:pos="4419"/>
              </w:tabs>
              <w:spacing w:after="200" w:line="276" w:lineRule="auto"/>
              <w:rPr>
                <w:rFonts w:ascii="Calibri Light" w:eastAsia="Calibri" w:hAnsi="Calibri Light" w:cs="Calibri Light"/>
                <w:lang w:val="es-MX"/>
              </w:rPr>
            </w:pPr>
            <w:r w:rsidRPr="00706E35">
              <w:rPr>
                <w:rFonts w:ascii="Calibri Light" w:eastAsia="Calibri" w:hAnsi="Calibri Light" w:cs="Calibri Light"/>
              </w:rPr>
              <w:t xml:space="preserve">Metas de Aprendizaje CT1. Analizar cómo las dietas restrictivas afectan los patrones alimentarios saludables. CT2. Analizar cómo una alimentación adecuada es esencial para mantener un estado de salud óptimo, mientras que la falta de una dieta equilibrada puede provocar enfermedades como sobrepeso, obesidad, desnutrición y anemia. CT3. Identificar el adecuado aporte calórico que tiene una dieta equilibrada según los parámetros individuales para mantener la salud. CT5. Identificar que la obtención de nutrientes depende de la disponibilidad de materia y estos se transforman en el organismo, por lo que las dietas hipocalóricas o hipercalóricas favorecen o no la construcción de estructuras en el organismo que repercute en el estado de salud optimo. </w:t>
            </w:r>
            <w:r w:rsidRPr="00706E35">
              <w:rPr>
                <w:rFonts w:ascii="Calibri Light" w:eastAsia="Calibri" w:hAnsi="Calibri Light" w:cs="Calibri Light"/>
              </w:rPr>
              <w:lastRenderedPageBreak/>
              <w:t>CT7. Desarrollar estrategias de prevención que permitan comprender que los cambios en los patrones de alimentación o elección de dieta llevan a modificaciones metabólicas en la búsqueda de la homeostasis.</w:t>
            </w:r>
          </w:p>
        </w:tc>
      </w:tr>
      <w:tr w:rsidR="00FB154F" w:rsidRPr="00FB154F" w14:paraId="12E80DAD" w14:textId="77777777" w:rsidTr="00FB154F">
        <w:tc>
          <w:tcPr>
            <w:tcW w:w="1154" w:type="pct"/>
            <w:tcBorders>
              <w:top w:val="single" w:sz="4" w:space="0" w:color="000000"/>
              <w:left w:val="single" w:sz="4" w:space="0" w:color="000000"/>
              <w:bottom w:val="single" w:sz="4" w:space="0" w:color="000000"/>
              <w:right w:val="single" w:sz="4" w:space="0" w:color="auto"/>
            </w:tcBorders>
            <w:vAlign w:val="center"/>
            <w:hideMark/>
          </w:tcPr>
          <w:p w14:paraId="7DDD7C53" w14:textId="77777777"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lastRenderedPageBreak/>
              <w:t>Progresión     5</w:t>
            </w:r>
          </w:p>
        </w:tc>
        <w:tc>
          <w:tcPr>
            <w:tcW w:w="3846" w:type="pct"/>
            <w:tcBorders>
              <w:top w:val="single" w:sz="4" w:space="0" w:color="000000"/>
              <w:left w:val="single" w:sz="4" w:space="0" w:color="auto"/>
              <w:bottom w:val="single" w:sz="4" w:space="0" w:color="000000"/>
              <w:right w:val="single" w:sz="4" w:space="0" w:color="000000"/>
            </w:tcBorders>
            <w:vAlign w:val="center"/>
            <w:hideMark/>
          </w:tcPr>
          <w:p w14:paraId="34F76B9C" w14:textId="4C59ACE2" w:rsidR="00FB154F" w:rsidRPr="00FB154F" w:rsidRDefault="00706E35" w:rsidP="00FB154F">
            <w:pPr>
              <w:autoSpaceDE w:val="0"/>
              <w:autoSpaceDN w:val="0"/>
              <w:adjustRightInd w:val="0"/>
              <w:spacing w:line="256" w:lineRule="auto"/>
              <w:rPr>
                <w:rFonts w:ascii="Calibri Light" w:eastAsia="Calibri" w:hAnsi="Calibri Light" w:cs="Calibri Light"/>
                <w:color w:val="000000"/>
                <w:lang w:val="es-MX"/>
              </w:rPr>
            </w:pPr>
            <w:r w:rsidRPr="00706E35">
              <w:rPr>
                <w:rFonts w:ascii="Calibri Light" w:eastAsia="Calibri" w:hAnsi="Calibri Light" w:cs="Calibri Light"/>
                <w:color w:val="000000"/>
              </w:rPr>
              <w:t>Si se promueve el uso responsable y ético de medicamentos, entonces disminuirán los factores de riesgo asociados al empleo de sustancias farmacológicas, lo que contribuirá a mejorar el bienestar general de la comunidad.</w:t>
            </w:r>
          </w:p>
        </w:tc>
      </w:tr>
      <w:tr w:rsidR="00FB154F" w:rsidRPr="00FB154F" w14:paraId="14B2CB38"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24EE8F10" w14:textId="77777777" w:rsidR="00706E35" w:rsidRDefault="00FB154F" w:rsidP="00FB154F">
            <w:pPr>
              <w:autoSpaceDE w:val="0"/>
              <w:autoSpaceDN w:val="0"/>
              <w:adjustRightInd w:val="0"/>
              <w:spacing w:line="256" w:lineRule="auto"/>
              <w:rPr>
                <w:rFonts w:ascii="Calibri Light" w:eastAsia="Calibri" w:hAnsi="Calibri Light" w:cs="Calibri Light"/>
                <w:lang w:val="es-MX"/>
              </w:rPr>
            </w:pPr>
            <w:r w:rsidRPr="00FB154F">
              <w:rPr>
                <w:rFonts w:ascii="Calibri Light" w:eastAsia="Calibri" w:hAnsi="Calibri Light" w:cs="Calibri Light"/>
                <w:lang w:val="es-MX"/>
              </w:rPr>
              <w:t xml:space="preserve">CONCEPTOS </w:t>
            </w:r>
          </w:p>
          <w:p w14:paraId="1B7A53B1" w14:textId="77777777" w:rsidR="00FB154F" w:rsidRDefault="00706E35" w:rsidP="00706E35">
            <w:pPr>
              <w:autoSpaceDE w:val="0"/>
              <w:autoSpaceDN w:val="0"/>
              <w:adjustRightInd w:val="0"/>
              <w:spacing w:line="256" w:lineRule="auto"/>
              <w:rPr>
                <w:rFonts w:ascii="Calibri Light" w:eastAsia="Calibri" w:hAnsi="Calibri Light" w:cs="Calibri Light"/>
              </w:rPr>
            </w:pPr>
            <w:r w:rsidRPr="00706E35">
              <w:rPr>
                <w:rFonts w:ascii="Calibri Light" w:eastAsia="Calibri" w:hAnsi="Calibri Light" w:cs="Calibri Light"/>
              </w:rPr>
              <w:t xml:space="preserve">CC. Bienestar biopsicosocial: higiene colectiva, epidemiología, salud pública y responsabilidad social. </w:t>
            </w:r>
          </w:p>
          <w:p w14:paraId="2903A28A" w14:textId="77777777" w:rsidR="00706E35" w:rsidRDefault="00706E35" w:rsidP="00706E35">
            <w:pPr>
              <w:autoSpaceDE w:val="0"/>
              <w:autoSpaceDN w:val="0"/>
              <w:adjustRightInd w:val="0"/>
              <w:spacing w:line="256" w:lineRule="auto"/>
              <w:rPr>
                <w:rFonts w:ascii="Calibri Light" w:eastAsia="Calibri" w:hAnsi="Calibri Light" w:cs="Calibri Light"/>
                <w:color w:val="000000"/>
              </w:rPr>
            </w:pPr>
            <w:r w:rsidRPr="00706E35">
              <w:rPr>
                <w:rFonts w:ascii="Calibri Light" w:eastAsia="Calibri" w:hAnsi="Calibri Light" w:cs="Calibri Light"/>
                <w:color w:val="000000"/>
              </w:rPr>
              <w:t xml:space="preserve">CT2. Causa y efecto </w:t>
            </w:r>
          </w:p>
          <w:p w14:paraId="0FCC8DC9" w14:textId="77777777" w:rsidR="00706E35" w:rsidRDefault="00706E35" w:rsidP="00706E35">
            <w:pPr>
              <w:autoSpaceDE w:val="0"/>
              <w:autoSpaceDN w:val="0"/>
              <w:adjustRightInd w:val="0"/>
              <w:spacing w:line="256" w:lineRule="auto"/>
              <w:rPr>
                <w:rFonts w:ascii="Calibri Light" w:eastAsia="Calibri" w:hAnsi="Calibri Light" w:cs="Calibri Light"/>
                <w:color w:val="000000"/>
              </w:rPr>
            </w:pPr>
            <w:r w:rsidRPr="00706E35">
              <w:rPr>
                <w:rFonts w:ascii="Calibri Light" w:eastAsia="Calibri" w:hAnsi="Calibri Light" w:cs="Calibri Light"/>
                <w:color w:val="000000"/>
              </w:rPr>
              <w:t xml:space="preserve">CT3. Medición </w:t>
            </w:r>
          </w:p>
          <w:p w14:paraId="7753AD5A" w14:textId="77777777" w:rsidR="00706E35" w:rsidRDefault="00706E35" w:rsidP="00706E35">
            <w:pPr>
              <w:autoSpaceDE w:val="0"/>
              <w:autoSpaceDN w:val="0"/>
              <w:adjustRightInd w:val="0"/>
              <w:spacing w:line="256" w:lineRule="auto"/>
              <w:rPr>
                <w:rFonts w:ascii="Calibri Light" w:eastAsia="Calibri" w:hAnsi="Calibri Light" w:cs="Calibri Light"/>
                <w:color w:val="000000"/>
              </w:rPr>
            </w:pPr>
            <w:r w:rsidRPr="00706E35">
              <w:rPr>
                <w:rFonts w:ascii="Calibri Light" w:eastAsia="Calibri" w:hAnsi="Calibri Light" w:cs="Calibri Light"/>
                <w:color w:val="000000"/>
              </w:rPr>
              <w:t xml:space="preserve">CT4. Sistemas </w:t>
            </w:r>
          </w:p>
          <w:p w14:paraId="2A839333" w14:textId="356824AC" w:rsidR="00706E35" w:rsidRPr="00FB154F" w:rsidRDefault="00706E35" w:rsidP="00706E35">
            <w:pPr>
              <w:autoSpaceDE w:val="0"/>
              <w:autoSpaceDN w:val="0"/>
              <w:adjustRightInd w:val="0"/>
              <w:spacing w:line="256" w:lineRule="auto"/>
              <w:rPr>
                <w:rFonts w:ascii="Calibri Light" w:eastAsia="Calibri" w:hAnsi="Calibri Light" w:cs="Calibri Light"/>
                <w:color w:val="000000"/>
                <w:lang w:val="es-MX"/>
              </w:rPr>
            </w:pPr>
            <w:r w:rsidRPr="00706E35">
              <w:rPr>
                <w:rFonts w:ascii="Calibri Light" w:eastAsia="Calibri" w:hAnsi="Calibri Light" w:cs="Calibri Light"/>
                <w:color w:val="000000"/>
              </w:rPr>
              <w:t>CT7. Estabilidad y cambio</w:t>
            </w:r>
          </w:p>
        </w:tc>
      </w:tr>
      <w:tr w:rsidR="00FB154F" w:rsidRPr="00FB154F" w14:paraId="764DCFAB"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16E6E7FF" w14:textId="77777777" w:rsid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t xml:space="preserve">METAS </w:t>
            </w:r>
          </w:p>
          <w:p w14:paraId="335EDACF" w14:textId="3D8E9F6E" w:rsidR="00706E35" w:rsidRDefault="00706E35" w:rsidP="00706E35">
            <w:pPr>
              <w:autoSpaceDE w:val="0"/>
              <w:autoSpaceDN w:val="0"/>
              <w:adjustRightInd w:val="0"/>
              <w:spacing w:line="256" w:lineRule="auto"/>
              <w:rPr>
                <w:rFonts w:ascii="Calibri Light" w:eastAsia="Calibri" w:hAnsi="Calibri Light" w:cs="Calibri Light"/>
              </w:rPr>
            </w:pPr>
            <w:r w:rsidRPr="00706E35">
              <w:rPr>
                <w:rFonts w:ascii="Calibri Light" w:eastAsia="Calibri" w:hAnsi="Calibri Light" w:cs="Calibri Light"/>
              </w:rPr>
              <w:t>CC. Comprende que la salud pública es fundamental para contener el desarrollo y propagación de enfermedades, ya que atiende de forma ética y responsable los indicadores epidemiológicos derivados de factores biops</w:t>
            </w:r>
            <w:r>
              <w:rPr>
                <w:rFonts w:ascii="Calibri Light" w:eastAsia="Calibri" w:hAnsi="Calibri Light" w:cs="Calibri Light"/>
              </w:rPr>
              <w:t>icosociales</w:t>
            </w:r>
            <w:r w:rsidRPr="00706E35">
              <w:rPr>
                <w:rFonts w:ascii="Calibri Light" w:eastAsia="Calibri" w:hAnsi="Calibri Light" w:cs="Calibri Light"/>
              </w:rPr>
              <w:t xml:space="preserve"> y con apoyo de la medicina tradicional y la tecnología desarrolla estrategias que promueven el bienestar integral y el acceso equitativo a servicios de salud en la población.  </w:t>
            </w:r>
          </w:p>
          <w:p w14:paraId="58FD0161" w14:textId="77777777" w:rsidR="00706E35" w:rsidRDefault="00706E35" w:rsidP="00706E35">
            <w:pPr>
              <w:autoSpaceDE w:val="0"/>
              <w:autoSpaceDN w:val="0"/>
              <w:adjustRightInd w:val="0"/>
              <w:spacing w:line="256" w:lineRule="auto"/>
              <w:rPr>
                <w:rFonts w:ascii="Calibri Light" w:eastAsia="Calibri" w:hAnsi="Calibri Light" w:cs="Calibri Light"/>
              </w:rPr>
            </w:pPr>
            <w:r w:rsidRPr="00706E35">
              <w:rPr>
                <w:rFonts w:ascii="Calibri Light" w:eastAsia="Calibri" w:hAnsi="Calibri Light" w:cs="Calibri Light"/>
              </w:rPr>
              <w:t xml:space="preserve">CT2. </w:t>
            </w:r>
            <w:proofErr w:type="gramStart"/>
            <w:r w:rsidRPr="00706E35">
              <w:rPr>
                <w:rFonts w:ascii="Calibri Light" w:eastAsia="Calibri" w:hAnsi="Calibri Light" w:cs="Calibri Light"/>
              </w:rPr>
              <w:t>Reconocer</w:t>
            </w:r>
            <w:proofErr w:type="gramEnd"/>
            <w:r w:rsidRPr="00706E35">
              <w:rPr>
                <w:rFonts w:ascii="Calibri Light" w:eastAsia="Calibri" w:hAnsi="Calibri Light" w:cs="Calibri Light"/>
              </w:rPr>
              <w:t xml:space="preserve"> que la resistencia microbiana disminuye si los antibióticos se usan responsablemente. </w:t>
            </w:r>
          </w:p>
          <w:p w14:paraId="7D2AB955" w14:textId="77777777" w:rsidR="00706E35" w:rsidRDefault="00706E35" w:rsidP="00706E35">
            <w:pPr>
              <w:autoSpaceDE w:val="0"/>
              <w:autoSpaceDN w:val="0"/>
              <w:adjustRightInd w:val="0"/>
              <w:spacing w:line="256" w:lineRule="auto"/>
              <w:rPr>
                <w:rFonts w:ascii="Calibri Light" w:eastAsia="Calibri" w:hAnsi="Calibri Light" w:cs="Calibri Light"/>
              </w:rPr>
            </w:pPr>
            <w:r w:rsidRPr="00706E35">
              <w:rPr>
                <w:rFonts w:ascii="Calibri Light" w:eastAsia="Calibri" w:hAnsi="Calibri Light" w:cs="Calibri Light"/>
              </w:rPr>
              <w:t>CT3. Identificar el impacto del mal uso de los medicamentos en la comunidad y las repercusiones que tiene en materia de salud: resistencia antimicrobiana, intoxicaciones o daños orgánicos.</w:t>
            </w:r>
          </w:p>
          <w:p w14:paraId="6B14DC93" w14:textId="77777777" w:rsidR="00706E35" w:rsidRDefault="00706E35" w:rsidP="00706E35">
            <w:pPr>
              <w:autoSpaceDE w:val="0"/>
              <w:autoSpaceDN w:val="0"/>
              <w:adjustRightInd w:val="0"/>
              <w:spacing w:line="256" w:lineRule="auto"/>
              <w:rPr>
                <w:rFonts w:ascii="Calibri Light" w:eastAsia="Calibri" w:hAnsi="Calibri Light" w:cs="Calibri Light"/>
              </w:rPr>
            </w:pPr>
            <w:r w:rsidRPr="00706E35">
              <w:rPr>
                <w:rFonts w:ascii="Calibri Light" w:eastAsia="Calibri" w:hAnsi="Calibri Light" w:cs="Calibri Light"/>
              </w:rPr>
              <w:t xml:space="preserve"> CT4. Revisar los medicamentos de uso más frecuente en la comunidad y sus repercusiones en el organismo. </w:t>
            </w:r>
          </w:p>
          <w:p w14:paraId="1A5EE66B" w14:textId="77777777" w:rsidR="00706E35" w:rsidRPr="00FB154F" w:rsidRDefault="00706E35" w:rsidP="00706E35">
            <w:pPr>
              <w:autoSpaceDE w:val="0"/>
              <w:autoSpaceDN w:val="0"/>
              <w:adjustRightInd w:val="0"/>
              <w:spacing w:line="256" w:lineRule="auto"/>
              <w:rPr>
                <w:rFonts w:ascii="Calibri Light" w:eastAsia="Calibri" w:hAnsi="Calibri Light" w:cs="Calibri Light"/>
                <w:lang w:val="es-MX"/>
              </w:rPr>
            </w:pPr>
            <w:r w:rsidRPr="00706E35">
              <w:rPr>
                <w:rFonts w:ascii="Calibri Light" w:eastAsia="Calibri" w:hAnsi="Calibri Light" w:cs="Calibri Light"/>
              </w:rPr>
              <w:t>CT7. Desarrollar estrategias de prevención que permitan comprender que el uso responsable de medicamentos al tener alguna patología o dolencia es un coadyuvante para el estado de salud y mantenimiento de la homeostasis, mientras que el uso irresponsable puede alterar el equilibrio biológico y agravar las condiciones de salud.</w:t>
            </w:r>
          </w:p>
          <w:p w14:paraId="4AC4ADD6" w14:textId="7B392182" w:rsidR="00706E35" w:rsidRPr="00FB154F" w:rsidRDefault="00706E35" w:rsidP="00FB154F">
            <w:pPr>
              <w:tabs>
                <w:tab w:val="left" w:pos="3345"/>
                <w:tab w:val="center" w:pos="4419"/>
              </w:tabs>
              <w:spacing w:after="200" w:line="276" w:lineRule="auto"/>
              <w:rPr>
                <w:rFonts w:ascii="Calibri Light" w:eastAsia="Calibri" w:hAnsi="Calibri Light" w:cs="Calibri Light"/>
                <w:lang w:val="es-MX"/>
              </w:rPr>
            </w:pPr>
          </w:p>
        </w:tc>
      </w:tr>
    </w:tbl>
    <w:p w14:paraId="2224C6AA" w14:textId="77777777" w:rsidR="00FB154F" w:rsidRPr="00FB154F" w:rsidRDefault="00FB154F" w:rsidP="00FB154F">
      <w:pPr>
        <w:spacing w:after="200" w:line="276" w:lineRule="auto"/>
        <w:rPr>
          <w:rFonts w:ascii="Calibri Light" w:eastAsia="Calibri" w:hAnsi="Calibri Light" w:cs="Calibri Light"/>
          <w:lang w:val="es-MX"/>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38"/>
        <w:gridCol w:w="6790"/>
      </w:tblGrid>
      <w:tr w:rsidR="00FB154F" w:rsidRPr="00FB154F" w14:paraId="069315E4" w14:textId="77777777" w:rsidTr="00FB154F">
        <w:trPr>
          <w:trHeight w:val="567"/>
        </w:trPr>
        <w:tc>
          <w:tcPr>
            <w:tcW w:w="1154" w:type="pct"/>
            <w:tcBorders>
              <w:top w:val="single" w:sz="4" w:space="0" w:color="000000"/>
              <w:left w:val="single" w:sz="4" w:space="0" w:color="000000"/>
              <w:bottom w:val="single" w:sz="4" w:space="0" w:color="000000"/>
              <w:right w:val="single" w:sz="4" w:space="0" w:color="auto"/>
            </w:tcBorders>
            <w:vAlign w:val="center"/>
            <w:hideMark/>
          </w:tcPr>
          <w:p w14:paraId="77E61ED4" w14:textId="77777777"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t>Progresión     6</w:t>
            </w:r>
          </w:p>
        </w:tc>
        <w:tc>
          <w:tcPr>
            <w:tcW w:w="3846" w:type="pct"/>
            <w:tcBorders>
              <w:top w:val="single" w:sz="4" w:space="0" w:color="000000"/>
              <w:left w:val="single" w:sz="4" w:space="0" w:color="auto"/>
              <w:bottom w:val="single" w:sz="4" w:space="0" w:color="000000"/>
              <w:right w:val="single" w:sz="4" w:space="0" w:color="000000"/>
            </w:tcBorders>
            <w:vAlign w:val="center"/>
            <w:hideMark/>
          </w:tcPr>
          <w:p w14:paraId="52399843" w14:textId="5E6124B2" w:rsidR="00FB154F" w:rsidRPr="00FB154F" w:rsidRDefault="00787469" w:rsidP="00FB154F">
            <w:pPr>
              <w:autoSpaceDE w:val="0"/>
              <w:autoSpaceDN w:val="0"/>
              <w:adjustRightInd w:val="0"/>
              <w:spacing w:line="256" w:lineRule="auto"/>
              <w:rPr>
                <w:rFonts w:ascii="Calibri Light" w:eastAsia="Calibri" w:hAnsi="Calibri Light" w:cs="Calibri Light"/>
                <w:color w:val="000000"/>
                <w:lang w:val="es-MX"/>
              </w:rPr>
            </w:pPr>
            <w:r w:rsidRPr="00787469">
              <w:rPr>
                <w:rFonts w:ascii="Calibri Light" w:eastAsia="Calibri" w:hAnsi="Calibri Light" w:cs="Calibri Light"/>
                <w:color w:val="000000"/>
              </w:rPr>
              <w:t xml:space="preserve">La medicina alternativa, al ser utilizada de manera ética y responsable en combinación con la medicina alópata, puede ofrecer opciones que ayuden a aliviar los signos y síntomas de </w:t>
            </w:r>
            <w:r w:rsidRPr="00787469">
              <w:rPr>
                <w:rFonts w:ascii="Calibri Light" w:eastAsia="Calibri" w:hAnsi="Calibri Light" w:cs="Calibri Light"/>
                <w:color w:val="000000"/>
              </w:rPr>
              <w:lastRenderedPageBreak/>
              <w:t>diversas enfermedades. La sustentación científica de estas prácticas originarias enriquece el enfoque integral de atención a la salud.</w:t>
            </w:r>
          </w:p>
        </w:tc>
      </w:tr>
      <w:tr w:rsidR="00FB154F" w:rsidRPr="00FB154F" w14:paraId="6EBE2741"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500FEAB9" w14:textId="77777777" w:rsidR="00FB154F" w:rsidRDefault="00FB154F" w:rsidP="00FB154F">
            <w:pPr>
              <w:autoSpaceDE w:val="0"/>
              <w:autoSpaceDN w:val="0"/>
              <w:adjustRightInd w:val="0"/>
              <w:spacing w:line="256" w:lineRule="auto"/>
              <w:rPr>
                <w:rFonts w:ascii="Calibri Light" w:eastAsia="Calibri" w:hAnsi="Calibri Light" w:cs="Calibri Light"/>
                <w:lang w:val="es-MX"/>
              </w:rPr>
            </w:pPr>
            <w:r w:rsidRPr="00FB154F">
              <w:rPr>
                <w:rFonts w:ascii="Calibri Light" w:eastAsia="Calibri" w:hAnsi="Calibri Light" w:cs="Calibri Light"/>
                <w:lang w:val="es-MX"/>
              </w:rPr>
              <w:lastRenderedPageBreak/>
              <w:t xml:space="preserve">CONCEPTOS </w:t>
            </w:r>
          </w:p>
          <w:p w14:paraId="7C9F407A" w14:textId="77777777" w:rsidR="00787469" w:rsidRDefault="00787469" w:rsidP="00FB154F">
            <w:pPr>
              <w:autoSpaceDE w:val="0"/>
              <w:autoSpaceDN w:val="0"/>
              <w:adjustRightInd w:val="0"/>
              <w:spacing w:line="256" w:lineRule="auto"/>
              <w:rPr>
                <w:rFonts w:ascii="Calibri Light" w:eastAsia="Calibri" w:hAnsi="Calibri Light" w:cs="Calibri Light"/>
              </w:rPr>
            </w:pPr>
            <w:r w:rsidRPr="00787469">
              <w:rPr>
                <w:rFonts w:ascii="Calibri Light" w:eastAsia="Calibri" w:hAnsi="Calibri Light" w:cs="Calibri Light"/>
              </w:rPr>
              <w:t>CC. Bienestar biopsicosocial: higiene colectiva, epidemiología, salud pública y responsabilidad social.</w:t>
            </w:r>
          </w:p>
          <w:p w14:paraId="4B6139B6" w14:textId="77777777" w:rsidR="00787469" w:rsidRDefault="00787469" w:rsidP="00FB154F">
            <w:pPr>
              <w:autoSpaceDE w:val="0"/>
              <w:autoSpaceDN w:val="0"/>
              <w:adjustRightInd w:val="0"/>
              <w:spacing w:line="256" w:lineRule="auto"/>
              <w:rPr>
                <w:rFonts w:ascii="Calibri Light" w:eastAsia="Calibri" w:hAnsi="Calibri Light" w:cs="Calibri Light"/>
              </w:rPr>
            </w:pPr>
            <w:r w:rsidRPr="00787469">
              <w:rPr>
                <w:rFonts w:ascii="Calibri Light" w:eastAsia="Calibri" w:hAnsi="Calibri Light" w:cs="Calibri Light"/>
              </w:rPr>
              <w:t xml:space="preserve">CT2. Causa y efecto </w:t>
            </w:r>
          </w:p>
          <w:p w14:paraId="6A22D42D" w14:textId="77777777" w:rsidR="00787469" w:rsidRDefault="00787469" w:rsidP="00FB154F">
            <w:pPr>
              <w:autoSpaceDE w:val="0"/>
              <w:autoSpaceDN w:val="0"/>
              <w:adjustRightInd w:val="0"/>
              <w:spacing w:line="256" w:lineRule="auto"/>
              <w:rPr>
                <w:rFonts w:ascii="Calibri Light" w:eastAsia="Calibri" w:hAnsi="Calibri Light" w:cs="Calibri Light"/>
              </w:rPr>
            </w:pPr>
            <w:r w:rsidRPr="00787469">
              <w:rPr>
                <w:rFonts w:ascii="Calibri Light" w:eastAsia="Calibri" w:hAnsi="Calibri Light" w:cs="Calibri Light"/>
              </w:rPr>
              <w:t>CT4. Sistemas</w:t>
            </w:r>
          </w:p>
          <w:p w14:paraId="31F06778" w14:textId="5532A494" w:rsidR="00787469" w:rsidRPr="00FB154F" w:rsidRDefault="00787469" w:rsidP="00FB154F">
            <w:pPr>
              <w:autoSpaceDE w:val="0"/>
              <w:autoSpaceDN w:val="0"/>
              <w:adjustRightInd w:val="0"/>
              <w:spacing w:line="256" w:lineRule="auto"/>
              <w:rPr>
                <w:rFonts w:ascii="Calibri Light" w:eastAsia="Calibri" w:hAnsi="Calibri Light" w:cs="Calibri Light"/>
                <w:lang w:val="es-MX"/>
              </w:rPr>
            </w:pPr>
            <w:r w:rsidRPr="00787469">
              <w:rPr>
                <w:rFonts w:ascii="Calibri Light" w:eastAsia="Calibri" w:hAnsi="Calibri Light" w:cs="Calibri Light"/>
              </w:rPr>
              <w:t>CT7. Estabilidad y cambio</w:t>
            </w:r>
          </w:p>
        </w:tc>
      </w:tr>
      <w:tr w:rsidR="00FB154F" w:rsidRPr="00FB154F" w14:paraId="1D94B162"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0FF4DF74" w14:textId="77777777" w:rsid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t xml:space="preserve">METAS </w:t>
            </w:r>
          </w:p>
          <w:p w14:paraId="4E7EF251" w14:textId="01379D32" w:rsidR="00787469" w:rsidRDefault="00787469" w:rsidP="00FB154F">
            <w:pPr>
              <w:tabs>
                <w:tab w:val="left" w:pos="3345"/>
                <w:tab w:val="center" w:pos="4419"/>
              </w:tabs>
              <w:spacing w:after="200" w:line="276" w:lineRule="auto"/>
              <w:rPr>
                <w:rFonts w:ascii="Calibri Light" w:eastAsia="Calibri" w:hAnsi="Calibri Light" w:cs="Calibri Light"/>
              </w:rPr>
            </w:pPr>
            <w:r w:rsidRPr="00787469">
              <w:rPr>
                <w:rFonts w:ascii="Calibri Light" w:eastAsia="Calibri" w:hAnsi="Calibri Light" w:cs="Calibri Light"/>
              </w:rPr>
              <w:t>CC. Comprende que la salud pública es fundamental para contener el desarrollo y propagación de enfermedades, ya que atiende de forma ética y responsable los indicadores epidemiológicos derivados de factores biopsicosociales y con apoyo de la medicina tradicional y la tecnología, desarrolla estrategias que promueven el bienestar integral y el acceso equitativo a servicios de salud en la población.</w:t>
            </w:r>
          </w:p>
          <w:p w14:paraId="3B249FB7" w14:textId="77777777" w:rsidR="00787469" w:rsidRDefault="00787469" w:rsidP="00FB154F">
            <w:pPr>
              <w:tabs>
                <w:tab w:val="left" w:pos="3345"/>
                <w:tab w:val="center" w:pos="4419"/>
              </w:tabs>
              <w:spacing w:after="200" w:line="276" w:lineRule="auto"/>
              <w:rPr>
                <w:rFonts w:ascii="Calibri Light" w:eastAsia="Calibri" w:hAnsi="Calibri Light" w:cs="Calibri Light"/>
              </w:rPr>
            </w:pPr>
            <w:r w:rsidRPr="00787469">
              <w:rPr>
                <w:rFonts w:ascii="Calibri Light" w:eastAsia="Calibri" w:hAnsi="Calibri Light" w:cs="Calibri Light"/>
              </w:rPr>
              <w:t xml:space="preserve">CT2. Comprender que el uso de la medicina tradicional tiene impacto en el bienestar biopsicosocial al generar un efecto positivo en la psique de los individuos ya que se encuentra en concordancia con las practicas originarias de su contexto, actuando como auxiliar de la medicina alópata. </w:t>
            </w:r>
          </w:p>
          <w:p w14:paraId="0D0EA2CB" w14:textId="77777777" w:rsidR="00787469" w:rsidRDefault="00787469" w:rsidP="00FB154F">
            <w:pPr>
              <w:tabs>
                <w:tab w:val="left" w:pos="3345"/>
                <w:tab w:val="center" w:pos="4419"/>
              </w:tabs>
              <w:spacing w:after="200" w:line="276" w:lineRule="auto"/>
              <w:rPr>
                <w:rFonts w:ascii="Calibri Light" w:eastAsia="Calibri" w:hAnsi="Calibri Light" w:cs="Calibri Light"/>
              </w:rPr>
            </w:pPr>
            <w:r w:rsidRPr="00787469">
              <w:rPr>
                <w:rFonts w:ascii="Calibri Light" w:eastAsia="Calibri" w:hAnsi="Calibri Light" w:cs="Calibri Light"/>
              </w:rPr>
              <w:t xml:space="preserve">CT4. Identificar las principales similitudes y diferencias entre los sistemas de medicina tradicional y la medicina alópata, promoviendo un uso responsable en el proceso de restauración de la salud, en concordancia con las prácticas originarias de su contexto. </w:t>
            </w:r>
          </w:p>
          <w:p w14:paraId="1CC04EE4" w14:textId="071007F9" w:rsidR="00787469" w:rsidRPr="00787469" w:rsidRDefault="00787469" w:rsidP="00FB154F">
            <w:pPr>
              <w:tabs>
                <w:tab w:val="left" w:pos="3345"/>
                <w:tab w:val="center" w:pos="4419"/>
              </w:tabs>
              <w:spacing w:after="200" w:line="276" w:lineRule="auto"/>
              <w:rPr>
                <w:rFonts w:ascii="Calibri Light" w:eastAsia="Calibri" w:hAnsi="Calibri Light" w:cs="Calibri Light"/>
              </w:rPr>
            </w:pPr>
            <w:r w:rsidRPr="00787469">
              <w:rPr>
                <w:rFonts w:ascii="Calibri Light" w:eastAsia="Calibri" w:hAnsi="Calibri Light" w:cs="Calibri Light"/>
              </w:rPr>
              <w:t>CT7. Analizar cómo la medicina alópata y tradicional contribuyen a la estabilidad de la salud del individuo mediante el empleo de manera responsable y ética de ambas.</w:t>
            </w:r>
          </w:p>
          <w:p w14:paraId="402D1BEA" w14:textId="2020B252"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p>
        </w:tc>
      </w:tr>
      <w:tr w:rsidR="00FB154F" w:rsidRPr="00FB154F" w14:paraId="0071FDEE" w14:textId="77777777" w:rsidTr="00FB154F">
        <w:tc>
          <w:tcPr>
            <w:tcW w:w="1154" w:type="pct"/>
            <w:tcBorders>
              <w:top w:val="single" w:sz="4" w:space="0" w:color="000000"/>
              <w:left w:val="single" w:sz="4" w:space="0" w:color="000000"/>
              <w:bottom w:val="single" w:sz="4" w:space="0" w:color="000000"/>
              <w:right w:val="single" w:sz="4" w:space="0" w:color="auto"/>
            </w:tcBorders>
            <w:vAlign w:val="center"/>
            <w:hideMark/>
          </w:tcPr>
          <w:p w14:paraId="6C65BA1E" w14:textId="77777777"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t>Progresión     7</w:t>
            </w:r>
          </w:p>
        </w:tc>
        <w:tc>
          <w:tcPr>
            <w:tcW w:w="3846" w:type="pct"/>
            <w:tcBorders>
              <w:top w:val="single" w:sz="4" w:space="0" w:color="000000"/>
              <w:left w:val="single" w:sz="4" w:space="0" w:color="auto"/>
              <w:bottom w:val="single" w:sz="4" w:space="0" w:color="000000"/>
              <w:right w:val="single" w:sz="4" w:space="0" w:color="000000"/>
            </w:tcBorders>
            <w:vAlign w:val="center"/>
            <w:hideMark/>
          </w:tcPr>
          <w:p w14:paraId="15A1EF9C" w14:textId="69CD91F1" w:rsidR="00FB154F" w:rsidRPr="00FB154F" w:rsidRDefault="00787469" w:rsidP="00FB154F">
            <w:pPr>
              <w:autoSpaceDE w:val="0"/>
              <w:autoSpaceDN w:val="0"/>
              <w:adjustRightInd w:val="0"/>
              <w:spacing w:line="256" w:lineRule="auto"/>
              <w:rPr>
                <w:rFonts w:ascii="Calibri Light" w:eastAsia="Calibri" w:hAnsi="Calibri Light" w:cs="Calibri Light"/>
                <w:color w:val="000000"/>
                <w:lang w:val="es-MX"/>
              </w:rPr>
            </w:pPr>
            <w:r w:rsidRPr="00787469">
              <w:rPr>
                <w:rFonts w:ascii="Calibri Light" w:eastAsia="Calibri" w:hAnsi="Calibri Light" w:cs="Calibri Light"/>
                <w:color w:val="000000"/>
              </w:rPr>
              <w:t>El conocimiento en epidemiología, salud pública y medicinas alternativas es esencial para maximizar el impacto positivo de los avances tecnológicos para la promoción de la salud integral, facilitando la detección oportuna, el tratamiento efectivo y la resolución de enfermedades, al tiempo que promueve la conservación de la salud y un acceso más equitativo de la atención de forma personal y colectiva</w:t>
            </w:r>
          </w:p>
        </w:tc>
      </w:tr>
      <w:tr w:rsidR="00FB154F" w:rsidRPr="00FB154F" w14:paraId="39CB4B15"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3027472A" w14:textId="77777777" w:rsidR="00FB154F" w:rsidRDefault="00FB154F" w:rsidP="00FB154F">
            <w:pPr>
              <w:autoSpaceDE w:val="0"/>
              <w:autoSpaceDN w:val="0"/>
              <w:adjustRightInd w:val="0"/>
              <w:spacing w:line="256" w:lineRule="auto"/>
              <w:rPr>
                <w:rFonts w:ascii="Calibri Light" w:eastAsia="Calibri" w:hAnsi="Calibri Light" w:cs="Calibri Light"/>
                <w:lang w:val="es-MX"/>
              </w:rPr>
            </w:pPr>
            <w:r w:rsidRPr="00FB154F">
              <w:rPr>
                <w:rFonts w:ascii="Calibri Light" w:eastAsia="Calibri" w:hAnsi="Calibri Light" w:cs="Calibri Light"/>
                <w:lang w:val="es-MX"/>
              </w:rPr>
              <w:t xml:space="preserve">CONCEPTOS </w:t>
            </w:r>
          </w:p>
          <w:p w14:paraId="470D67B8" w14:textId="3077B4BF" w:rsidR="00787469" w:rsidRDefault="00787469" w:rsidP="00FB154F">
            <w:pPr>
              <w:autoSpaceDE w:val="0"/>
              <w:autoSpaceDN w:val="0"/>
              <w:adjustRightInd w:val="0"/>
              <w:spacing w:line="256" w:lineRule="auto"/>
              <w:rPr>
                <w:rFonts w:ascii="Calibri Light" w:eastAsia="Calibri" w:hAnsi="Calibri Light" w:cs="Calibri Light"/>
              </w:rPr>
            </w:pPr>
            <w:r w:rsidRPr="00787469">
              <w:rPr>
                <w:rFonts w:ascii="Calibri Light" w:eastAsia="Calibri" w:hAnsi="Calibri Light" w:cs="Calibri Light"/>
              </w:rPr>
              <w:t>CC. Bienestar biopsicosocial: higiene colectiva, epidemiología, salud pública y responsabilidad social.</w:t>
            </w:r>
          </w:p>
          <w:p w14:paraId="738DA7D6" w14:textId="77777777" w:rsidR="00787469" w:rsidRDefault="00787469" w:rsidP="00FB154F">
            <w:pPr>
              <w:autoSpaceDE w:val="0"/>
              <w:autoSpaceDN w:val="0"/>
              <w:adjustRightInd w:val="0"/>
              <w:spacing w:line="256" w:lineRule="auto"/>
              <w:rPr>
                <w:rFonts w:ascii="Calibri Light" w:eastAsia="Calibri" w:hAnsi="Calibri Light" w:cs="Calibri Light"/>
              </w:rPr>
            </w:pPr>
            <w:r w:rsidRPr="00787469">
              <w:rPr>
                <w:rFonts w:ascii="Calibri Light" w:eastAsia="Calibri" w:hAnsi="Calibri Light" w:cs="Calibri Light"/>
              </w:rPr>
              <w:t xml:space="preserve">CT2. Causa y efecto </w:t>
            </w:r>
          </w:p>
          <w:p w14:paraId="12D2DF14" w14:textId="77777777" w:rsidR="00787469" w:rsidRDefault="00787469" w:rsidP="00FB154F">
            <w:pPr>
              <w:autoSpaceDE w:val="0"/>
              <w:autoSpaceDN w:val="0"/>
              <w:adjustRightInd w:val="0"/>
              <w:spacing w:line="256" w:lineRule="auto"/>
              <w:rPr>
                <w:rFonts w:ascii="Calibri Light" w:eastAsia="Calibri" w:hAnsi="Calibri Light" w:cs="Calibri Light"/>
              </w:rPr>
            </w:pPr>
            <w:r w:rsidRPr="00787469">
              <w:rPr>
                <w:rFonts w:ascii="Calibri Light" w:eastAsia="Calibri" w:hAnsi="Calibri Light" w:cs="Calibri Light"/>
              </w:rPr>
              <w:lastRenderedPageBreak/>
              <w:t xml:space="preserve">CT3. Medición </w:t>
            </w:r>
          </w:p>
          <w:p w14:paraId="1B9CAA46" w14:textId="77777777" w:rsidR="00787469" w:rsidRDefault="00787469" w:rsidP="00FB154F">
            <w:pPr>
              <w:autoSpaceDE w:val="0"/>
              <w:autoSpaceDN w:val="0"/>
              <w:adjustRightInd w:val="0"/>
              <w:spacing w:line="256" w:lineRule="auto"/>
              <w:rPr>
                <w:rFonts w:ascii="Calibri Light" w:eastAsia="Calibri" w:hAnsi="Calibri Light" w:cs="Calibri Light"/>
              </w:rPr>
            </w:pPr>
            <w:r w:rsidRPr="00787469">
              <w:rPr>
                <w:rFonts w:ascii="Calibri Light" w:eastAsia="Calibri" w:hAnsi="Calibri Light" w:cs="Calibri Light"/>
              </w:rPr>
              <w:t xml:space="preserve">CT4. Sistemas </w:t>
            </w:r>
          </w:p>
          <w:p w14:paraId="15E2AA8B" w14:textId="77777777" w:rsidR="00787469" w:rsidRDefault="00787469" w:rsidP="00FB154F">
            <w:pPr>
              <w:autoSpaceDE w:val="0"/>
              <w:autoSpaceDN w:val="0"/>
              <w:adjustRightInd w:val="0"/>
              <w:spacing w:line="256" w:lineRule="auto"/>
              <w:rPr>
                <w:rFonts w:ascii="Calibri Light" w:eastAsia="Calibri" w:hAnsi="Calibri Light" w:cs="Calibri Light"/>
              </w:rPr>
            </w:pPr>
            <w:r w:rsidRPr="00787469">
              <w:rPr>
                <w:rFonts w:ascii="Calibri Light" w:eastAsia="Calibri" w:hAnsi="Calibri Light" w:cs="Calibri Light"/>
              </w:rPr>
              <w:t xml:space="preserve">CT6. Estructura y función </w:t>
            </w:r>
          </w:p>
          <w:p w14:paraId="0710DB83" w14:textId="643D11D9" w:rsidR="00787469" w:rsidRPr="00FB154F" w:rsidRDefault="00787469" w:rsidP="00FB154F">
            <w:pPr>
              <w:autoSpaceDE w:val="0"/>
              <w:autoSpaceDN w:val="0"/>
              <w:adjustRightInd w:val="0"/>
              <w:spacing w:line="256" w:lineRule="auto"/>
              <w:rPr>
                <w:rFonts w:ascii="Calibri Light" w:eastAsia="Calibri" w:hAnsi="Calibri Light" w:cs="Calibri Light"/>
                <w:lang w:val="es-MX"/>
              </w:rPr>
            </w:pPr>
            <w:r w:rsidRPr="00787469">
              <w:rPr>
                <w:rFonts w:ascii="Calibri Light" w:eastAsia="Calibri" w:hAnsi="Calibri Light" w:cs="Calibri Light"/>
              </w:rPr>
              <w:t>CT7. Estabilidad y cambio</w:t>
            </w:r>
          </w:p>
          <w:p w14:paraId="0BEDB87D" w14:textId="5907513D" w:rsidR="00FB154F" w:rsidRPr="00FB154F" w:rsidRDefault="00FB154F" w:rsidP="00FB154F">
            <w:pPr>
              <w:autoSpaceDE w:val="0"/>
              <w:autoSpaceDN w:val="0"/>
              <w:adjustRightInd w:val="0"/>
              <w:spacing w:line="256" w:lineRule="auto"/>
              <w:rPr>
                <w:rFonts w:ascii="Calibri Light" w:eastAsia="Calibri" w:hAnsi="Calibri Light" w:cs="Calibri Light"/>
                <w:color w:val="000000"/>
                <w:lang w:val="es-MX"/>
              </w:rPr>
            </w:pPr>
          </w:p>
        </w:tc>
      </w:tr>
      <w:tr w:rsidR="00FB154F" w:rsidRPr="00FB154F" w14:paraId="21DD9FB0"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50789DE0" w14:textId="77777777" w:rsid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lastRenderedPageBreak/>
              <w:t xml:space="preserve">METAS </w:t>
            </w:r>
          </w:p>
          <w:p w14:paraId="6542905C" w14:textId="77777777" w:rsidR="00787469" w:rsidRDefault="00787469" w:rsidP="00FB154F">
            <w:pPr>
              <w:tabs>
                <w:tab w:val="left" w:pos="3345"/>
                <w:tab w:val="center" w:pos="4419"/>
              </w:tabs>
              <w:spacing w:after="200" w:line="276" w:lineRule="auto"/>
              <w:rPr>
                <w:rFonts w:ascii="Calibri Light" w:eastAsia="Calibri" w:hAnsi="Calibri Light" w:cs="Calibri Light"/>
              </w:rPr>
            </w:pPr>
            <w:r w:rsidRPr="00787469">
              <w:rPr>
                <w:rFonts w:ascii="Calibri Light" w:eastAsia="Calibri" w:hAnsi="Calibri Light" w:cs="Calibri Light"/>
              </w:rPr>
              <w:t>CC. Comprende que la salud pública es fundamental para contener el desarrollo y propagación de enfermedades, ya que atiende de forma ética y responsable los indicadores epidemiológicos derivados de factores biopsicosociales y con apoyo de la medicina tradicional y la tecnología desarrolla estrategias que promueven el bienestar integral y el acceso equitativo a servicios de salud en la población.</w:t>
            </w:r>
          </w:p>
          <w:p w14:paraId="15F3891A" w14:textId="77777777" w:rsidR="00787469" w:rsidRDefault="00787469" w:rsidP="00FB154F">
            <w:pPr>
              <w:tabs>
                <w:tab w:val="left" w:pos="3345"/>
                <w:tab w:val="center" w:pos="4419"/>
              </w:tabs>
              <w:spacing w:after="200" w:line="276" w:lineRule="auto"/>
              <w:rPr>
                <w:rFonts w:ascii="Calibri Light" w:eastAsia="Calibri" w:hAnsi="Calibri Light" w:cs="Calibri Light"/>
              </w:rPr>
            </w:pPr>
            <w:r w:rsidRPr="00787469">
              <w:rPr>
                <w:rFonts w:ascii="Calibri Light" w:eastAsia="Calibri" w:hAnsi="Calibri Light" w:cs="Calibri Light"/>
              </w:rPr>
              <w:t xml:space="preserve">CT2. </w:t>
            </w:r>
            <w:proofErr w:type="gramStart"/>
            <w:r w:rsidRPr="00787469">
              <w:rPr>
                <w:rFonts w:ascii="Calibri Light" w:eastAsia="Calibri" w:hAnsi="Calibri Light" w:cs="Calibri Light"/>
              </w:rPr>
              <w:t>Reconocer</w:t>
            </w:r>
            <w:proofErr w:type="gramEnd"/>
            <w:r w:rsidRPr="00787469">
              <w:rPr>
                <w:rFonts w:ascii="Calibri Light" w:eastAsia="Calibri" w:hAnsi="Calibri Light" w:cs="Calibri Light"/>
              </w:rPr>
              <w:t xml:space="preserve"> que los avances tecnológicos permiten una detección oportuna, tratamientos y una adecuada promoción y prevención de enfermedades de salud pública. </w:t>
            </w:r>
          </w:p>
          <w:p w14:paraId="2A058BA9" w14:textId="77777777" w:rsidR="00787469" w:rsidRDefault="00787469" w:rsidP="00FB154F">
            <w:pPr>
              <w:tabs>
                <w:tab w:val="left" w:pos="3345"/>
                <w:tab w:val="center" w:pos="4419"/>
              </w:tabs>
              <w:spacing w:after="200" w:line="276" w:lineRule="auto"/>
              <w:rPr>
                <w:rFonts w:ascii="Calibri Light" w:eastAsia="Calibri" w:hAnsi="Calibri Light" w:cs="Calibri Light"/>
              </w:rPr>
            </w:pPr>
            <w:r w:rsidRPr="00787469">
              <w:rPr>
                <w:rFonts w:ascii="Calibri Light" w:eastAsia="Calibri" w:hAnsi="Calibri Light" w:cs="Calibri Light"/>
              </w:rPr>
              <w:t xml:space="preserve">CT3. Identificar que el uso de instrumentos tecnológicos de monitoreo como glucómetro, termómetro y </w:t>
            </w:r>
            <w:proofErr w:type="spellStart"/>
            <w:r w:rsidRPr="00787469">
              <w:rPr>
                <w:rFonts w:ascii="Calibri Light" w:eastAsia="Calibri" w:hAnsi="Calibri Light" w:cs="Calibri Light"/>
              </w:rPr>
              <w:t>baumanómetro</w:t>
            </w:r>
            <w:proofErr w:type="spellEnd"/>
            <w:r w:rsidRPr="00787469">
              <w:rPr>
                <w:rFonts w:ascii="Calibri Light" w:eastAsia="Calibri" w:hAnsi="Calibri Light" w:cs="Calibri Light"/>
              </w:rPr>
              <w:t xml:space="preserve"> digital permiten el control y reducción de enfermedades individuales y colectivas. </w:t>
            </w:r>
          </w:p>
          <w:p w14:paraId="6C92D75D" w14:textId="77777777" w:rsidR="00787469" w:rsidRDefault="00787469" w:rsidP="00FB154F">
            <w:pPr>
              <w:tabs>
                <w:tab w:val="left" w:pos="3345"/>
                <w:tab w:val="center" w:pos="4419"/>
              </w:tabs>
              <w:spacing w:after="200" w:line="276" w:lineRule="auto"/>
              <w:rPr>
                <w:rFonts w:ascii="Calibri Light" w:eastAsia="Calibri" w:hAnsi="Calibri Light" w:cs="Calibri Light"/>
              </w:rPr>
            </w:pPr>
            <w:r w:rsidRPr="00787469">
              <w:rPr>
                <w:rFonts w:ascii="Calibri Light" w:eastAsia="Calibri" w:hAnsi="Calibri Light" w:cs="Calibri Light"/>
              </w:rPr>
              <w:t xml:space="preserve">CT4. Identificar los diferentes sistemas de salud que se encuentran en su contexto social y cuáles son los avances tecnológicos con los que cuentan para la atención y promoción de la salud individual y colectiva. </w:t>
            </w:r>
          </w:p>
          <w:p w14:paraId="03BDA632" w14:textId="77777777" w:rsidR="00787469" w:rsidRDefault="00787469" w:rsidP="00FB154F">
            <w:pPr>
              <w:tabs>
                <w:tab w:val="left" w:pos="3345"/>
                <w:tab w:val="center" w:pos="4419"/>
              </w:tabs>
              <w:spacing w:after="200" w:line="276" w:lineRule="auto"/>
              <w:rPr>
                <w:rFonts w:ascii="Calibri Light" w:eastAsia="Calibri" w:hAnsi="Calibri Light" w:cs="Calibri Light"/>
              </w:rPr>
            </w:pPr>
            <w:r w:rsidRPr="00787469">
              <w:rPr>
                <w:rFonts w:ascii="Calibri Light" w:eastAsia="Calibri" w:hAnsi="Calibri Light" w:cs="Calibri Light"/>
              </w:rPr>
              <w:t xml:space="preserve">CT6. </w:t>
            </w:r>
            <w:proofErr w:type="gramStart"/>
            <w:r w:rsidRPr="00787469">
              <w:rPr>
                <w:rFonts w:ascii="Calibri Light" w:eastAsia="Calibri" w:hAnsi="Calibri Light" w:cs="Calibri Light"/>
              </w:rPr>
              <w:t>Reconocer</w:t>
            </w:r>
            <w:proofErr w:type="gramEnd"/>
            <w:r w:rsidRPr="00787469">
              <w:rPr>
                <w:rFonts w:ascii="Calibri Light" w:eastAsia="Calibri" w:hAnsi="Calibri Light" w:cs="Calibri Light"/>
              </w:rPr>
              <w:t xml:space="preserve"> que el sector salud está organizado por instituciones públicas y privadas que ofertan servicios para favorecer el acceso equitativo a la salud de forma individual y colectiva, </w:t>
            </w:r>
          </w:p>
          <w:p w14:paraId="10518164" w14:textId="585D060B" w:rsidR="00787469" w:rsidRPr="00FB154F" w:rsidRDefault="00787469" w:rsidP="00FB154F">
            <w:pPr>
              <w:tabs>
                <w:tab w:val="left" w:pos="3345"/>
                <w:tab w:val="center" w:pos="4419"/>
              </w:tabs>
              <w:spacing w:after="200" w:line="276" w:lineRule="auto"/>
              <w:rPr>
                <w:rFonts w:ascii="Calibri Light" w:eastAsia="Calibri" w:hAnsi="Calibri Light" w:cs="Calibri Light"/>
                <w:lang w:val="es-MX"/>
              </w:rPr>
            </w:pPr>
            <w:r w:rsidRPr="00787469">
              <w:rPr>
                <w:rFonts w:ascii="Calibri Light" w:eastAsia="Calibri" w:hAnsi="Calibri Light" w:cs="Calibri Light"/>
              </w:rPr>
              <w:t>CT7. Comprender que las ciencias de la salud se encuentran en constante evolución y la aplicación de las tecnologías favorecen un adecuado diagnóstico y tratamiento de enfermedades en salud pública.</w:t>
            </w:r>
          </w:p>
        </w:tc>
      </w:tr>
      <w:tr w:rsidR="00FB154F" w:rsidRPr="00FB154F" w14:paraId="149DAD11"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tcPr>
          <w:p w14:paraId="4E43EBEB" w14:textId="77777777" w:rsidR="00FB154F" w:rsidRDefault="00FB154F" w:rsidP="00FB154F">
            <w:pPr>
              <w:tabs>
                <w:tab w:val="left" w:pos="3345"/>
                <w:tab w:val="center" w:pos="4419"/>
              </w:tabs>
              <w:spacing w:after="200" w:line="276" w:lineRule="auto"/>
              <w:jc w:val="both"/>
              <w:rPr>
                <w:rFonts w:ascii="Calibri Light" w:eastAsia="Calibri" w:hAnsi="Calibri Light" w:cs="Calibri Light"/>
                <w:lang w:val="es-MX"/>
              </w:rPr>
            </w:pPr>
            <w:r w:rsidRPr="00FB154F">
              <w:rPr>
                <w:rFonts w:ascii="Calibri Light" w:eastAsia="Calibri" w:hAnsi="Calibri Light" w:cs="Calibri Light"/>
                <w:lang w:val="es-MX"/>
              </w:rPr>
              <w:t>FUENTES DE CONSULTA BÁSICA:</w:t>
            </w:r>
          </w:p>
          <w:p w14:paraId="3FB4D70D" w14:textId="4E1E500A" w:rsidR="00787469" w:rsidRPr="00FB154F" w:rsidRDefault="00787469" w:rsidP="00FB154F">
            <w:pPr>
              <w:tabs>
                <w:tab w:val="left" w:pos="3345"/>
                <w:tab w:val="center" w:pos="4419"/>
              </w:tabs>
              <w:spacing w:after="200" w:line="276" w:lineRule="auto"/>
              <w:jc w:val="both"/>
              <w:rPr>
                <w:rFonts w:ascii="Calibri Light" w:eastAsia="Calibri" w:hAnsi="Calibri Light" w:cs="Calibri Light"/>
                <w:lang w:val="es-MX"/>
              </w:rPr>
            </w:pPr>
            <w:r w:rsidRPr="00787469">
              <w:rPr>
                <w:rFonts w:ascii="Calibri Light" w:eastAsia="Calibri" w:hAnsi="Calibri Light" w:cs="Calibri Light"/>
              </w:rPr>
              <w:t xml:space="preserve">Hernández, I. &amp; Lumbreras, B. (2018). Manual de epidemiología y salud pública para grados en ciencias de la salud [3a ed.], Médica Panamericana. Ortega, R. (2023). Nutrición Clínica y Salud Nutricional [1a ed.]. Médica Panamericana. ISBN: 9788491109044. Ruíz, M., </w:t>
            </w:r>
            <w:r w:rsidRPr="00787469">
              <w:rPr>
                <w:rFonts w:ascii="Calibri Light" w:eastAsia="Calibri" w:hAnsi="Calibri Light" w:cs="Calibri Light"/>
              </w:rPr>
              <w:lastRenderedPageBreak/>
              <w:t>Fernández, M. &amp; Garrido, G. (2023). Fundamentos de Farmacología Básica y Clínica [3a ed.]. Medica Panamericana.</w:t>
            </w:r>
          </w:p>
          <w:p w14:paraId="0A3E5709" w14:textId="77777777" w:rsidR="00FB154F" w:rsidRPr="00FB154F" w:rsidRDefault="00FB154F" w:rsidP="00FB154F">
            <w:pPr>
              <w:spacing w:after="200" w:line="276" w:lineRule="auto"/>
              <w:rPr>
                <w:rFonts w:ascii="Calibri Light" w:eastAsia="Calibri" w:hAnsi="Calibri Light" w:cs="Calibri Light"/>
                <w:lang w:val="es-MX"/>
              </w:rPr>
            </w:pPr>
          </w:p>
        </w:tc>
      </w:tr>
      <w:tr w:rsidR="00FB154F" w:rsidRPr="00FB154F" w14:paraId="6D03C6BC" w14:textId="77777777" w:rsidTr="00FB154F">
        <w:tc>
          <w:tcPr>
            <w:tcW w:w="5000" w:type="pct"/>
            <w:gridSpan w:val="2"/>
            <w:tcBorders>
              <w:top w:val="single" w:sz="4" w:space="0" w:color="000000"/>
              <w:left w:val="single" w:sz="4" w:space="0" w:color="000000"/>
              <w:bottom w:val="single" w:sz="4" w:space="0" w:color="000000"/>
              <w:right w:val="single" w:sz="4" w:space="0" w:color="000000"/>
            </w:tcBorders>
            <w:vAlign w:val="center"/>
            <w:hideMark/>
          </w:tcPr>
          <w:p w14:paraId="21B2C4C0" w14:textId="77777777" w:rsidR="00787469"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lastRenderedPageBreak/>
              <w:t>FUENTES DE CONSULTA ELECTRÓNICA:</w:t>
            </w:r>
          </w:p>
          <w:p w14:paraId="000532E1" w14:textId="08D44E6F" w:rsidR="00FB154F" w:rsidRPr="00FB154F" w:rsidRDefault="00BC6175" w:rsidP="00FB154F">
            <w:pPr>
              <w:tabs>
                <w:tab w:val="left" w:pos="3345"/>
                <w:tab w:val="center" w:pos="4419"/>
              </w:tabs>
              <w:spacing w:after="200" w:line="276" w:lineRule="auto"/>
              <w:rPr>
                <w:rFonts w:ascii="Calibri Light" w:eastAsia="Calibri" w:hAnsi="Calibri Light" w:cs="Calibri Light"/>
                <w:lang w:val="es-MX"/>
              </w:rPr>
            </w:pPr>
            <w:r w:rsidRPr="00BC6175">
              <w:rPr>
                <w:rFonts w:ascii="Calibri Light" w:eastAsia="Calibri" w:hAnsi="Calibri Light" w:cs="Calibri Light"/>
              </w:rPr>
              <w:t>Guzmán, F. (2021). La automedicación puede enmascarar y agravar enfermedades. Gaceta UNAM. Recuperado el 24 de octubre de 2024 en https://www.gaceta.unam.mx/la-automedicacion puede-enmascarar-y-agravar-enfermedades/ DSouza, P. (s.f.). Simulación de una Epidemia. URL: https://untdf-grupo simulaciones.github.io/epidemias/simulador/simulador.html Vignolo J., Vacarezza M., Álvarez C., Sosa A., Niveles de atención, de prevención y atención primaria de la salud. Arch Med Interna 2011; XXXIII (1):11-14 © Prensa Médica Latinoamericana. 2011 ISSN 0250-3816</w:t>
            </w:r>
            <w:r w:rsidR="00FB154F" w:rsidRPr="00FB154F">
              <w:rPr>
                <w:rFonts w:ascii="Calibri Light" w:eastAsia="Calibri" w:hAnsi="Calibri Light" w:cs="Calibri Light"/>
                <w:lang w:val="es-MX"/>
              </w:rPr>
              <w:tab/>
            </w:r>
          </w:p>
          <w:p w14:paraId="3CA6FB4E" w14:textId="5BA187C0" w:rsidR="00FB154F" w:rsidRPr="00FB154F" w:rsidRDefault="00FB154F" w:rsidP="00FB154F">
            <w:pPr>
              <w:tabs>
                <w:tab w:val="left" w:pos="3345"/>
                <w:tab w:val="center" w:pos="4419"/>
              </w:tabs>
              <w:spacing w:after="200" w:line="276" w:lineRule="auto"/>
              <w:rPr>
                <w:rFonts w:ascii="Calibri Light" w:eastAsia="Calibri" w:hAnsi="Calibri Light" w:cs="Calibri Light"/>
                <w:lang w:val="es-MX"/>
              </w:rPr>
            </w:pPr>
            <w:r w:rsidRPr="00FB154F">
              <w:rPr>
                <w:rFonts w:ascii="Calibri Light" w:eastAsia="Calibri" w:hAnsi="Calibri Light" w:cs="Calibri Light"/>
                <w:lang w:val="es-MX"/>
              </w:rPr>
              <w:tab/>
            </w:r>
          </w:p>
        </w:tc>
      </w:tr>
    </w:tbl>
    <w:p w14:paraId="38274AB7" w14:textId="77777777" w:rsidR="00252392" w:rsidRDefault="00252392" w:rsidP="00737D68">
      <w:pPr>
        <w:spacing w:line="360" w:lineRule="auto"/>
        <w:rPr>
          <w:rFonts w:ascii="Noto Sans" w:eastAsia="Noto Sans" w:hAnsi="Noto Sans" w:cs="Noto Sans"/>
          <w:b/>
          <w:bCs/>
          <w:color w:val="000000"/>
          <w:sz w:val="18"/>
          <w:szCs w:val="18"/>
          <w:lang w:val="es-MX"/>
        </w:rPr>
      </w:pPr>
    </w:p>
    <w:p w14:paraId="2C5BA4C0" w14:textId="36C0C4F7" w:rsidR="00476DEE" w:rsidRPr="007C2AD6" w:rsidRDefault="00B4665C">
      <w:pPr>
        <w:rPr>
          <w:lang w:val="en-US"/>
        </w:rPr>
      </w:pPr>
      <w:r>
        <w:rPr>
          <w:rFonts w:ascii="Noto Sans" w:eastAsia="Noto Sans" w:hAnsi="Noto Sans" w:cs="Noto Sans"/>
          <w:b/>
          <w:sz w:val="20"/>
          <w:szCs w:val="20"/>
        </w:rPr>
        <w:t>Elaboró:</w:t>
      </w:r>
      <w:r w:rsidR="00BC6175">
        <w:rPr>
          <w:rFonts w:ascii="Noto Sans" w:eastAsia="Noto Sans" w:hAnsi="Noto Sans" w:cs="Noto Sans"/>
          <w:b/>
          <w:sz w:val="20"/>
          <w:szCs w:val="20"/>
        </w:rPr>
        <w:t xml:space="preserve">  Laura H. Higa Suzuki</w:t>
      </w:r>
    </w:p>
    <w:sectPr w:rsidR="00476DEE" w:rsidRPr="007C2AD6" w:rsidSect="00F47B05">
      <w:headerReference w:type="default" r:id="rId6"/>
      <w:footerReference w:type="default" r:id="rId7"/>
      <w:pgSz w:w="12240" w:h="15840"/>
      <w:pgMar w:top="2341" w:right="1701" w:bottom="1417" w:left="1701"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63E36" w14:textId="77777777" w:rsidR="003922B9" w:rsidRDefault="003922B9" w:rsidP="007C2AD6">
      <w:r>
        <w:separator/>
      </w:r>
    </w:p>
  </w:endnote>
  <w:endnote w:type="continuationSeparator" w:id="0">
    <w:p w14:paraId="50ED4337" w14:textId="77777777" w:rsidR="003922B9" w:rsidRDefault="003922B9" w:rsidP="007C2A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charset w:val="00"/>
    <w:family w:val="swiss"/>
    <w:pitch w:val="variable"/>
    <w:sig w:usb0="E00082FF" w:usb1="400078FF" w:usb2="00000021" w:usb3="00000000" w:csb0="0000019F" w:csb1="00000000"/>
  </w:font>
  <w:font w:name="Noto Sans SemiBold">
    <w:altName w:val="Calibri"/>
    <w:charset w:val="00"/>
    <w:family w:val="swiss"/>
    <w:pitch w:val="variable"/>
    <w:sig w:usb0="E00002FF" w:usb1="4000201F" w:usb2="0800002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75659" w14:textId="01AB9ECA" w:rsidR="00E1043F" w:rsidRDefault="00F47B05">
    <w:pPr>
      <w:pStyle w:val="Footer"/>
    </w:pPr>
    <w:r>
      <w:rPr>
        <w:noProof/>
        <w14:ligatures w14:val="standardContextual"/>
      </w:rPr>
      <mc:AlternateContent>
        <mc:Choice Requires="wps">
          <w:drawing>
            <wp:anchor distT="0" distB="0" distL="114300" distR="114300" simplePos="0" relativeHeight="251661312" behindDoc="0" locked="0" layoutInCell="1" allowOverlap="1" wp14:anchorId="55A38722" wp14:editId="6E4B0B19">
              <wp:simplePos x="0" y="0"/>
              <wp:positionH relativeFrom="margin">
                <wp:posOffset>1739265</wp:posOffset>
              </wp:positionH>
              <wp:positionV relativeFrom="paragraph">
                <wp:posOffset>-107315</wp:posOffset>
              </wp:positionV>
              <wp:extent cx="4759960" cy="374400"/>
              <wp:effectExtent l="0" t="0" r="0" b="0"/>
              <wp:wrapNone/>
              <wp:docPr id="415345994" name="Cuadro de texto 2"/>
              <wp:cNvGraphicFramePr/>
              <a:graphic xmlns:a="http://schemas.openxmlformats.org/drawingml/2006/main">
                <a:graphicData uri="http://schemas.microsoft.com/office/word/2010/wordprocessingShape">
                  <wps:wsp>
                    <wps:cNvSpPr txBox="1"/>
                    <wps:spPr>
                      <a:xfrm>
                        <a:off x="0" y="0"/>
                        <a:ext cx="4759960" cy="374400"/>
                      </a:xfrm>
                      <a:prstGeom prst="rect">
                        <a:avLst/>
                      </a:prstGeom>
                      <a:noFill/>
                      <a:ln w="6350">
                        <a:noFill/>
                      </a:ln>
                    </wps:spPr>
                    <wps:txbx>
                      <w:txbxContent>
                        <w:p w14:paraId="0F361B37" w14:textId="45708D67" w:rsidR="0025294A" w:rsidRPr="0083767C" w:rsidRDefault="0083767C" w:rsidP="0025294A">
                          <w:pPr>
                            <w:rPr>
                              <w:rFonts w:ascii="Noto Sans SemiBold" w:hAnsi="Noto Sans SemiBold" w:cs="Noto Sans SemiBold"/>
                              <w:color w:val="691135"/>
                              <w:sz w:val="15"/>
                              <w:szCs w:val="15"/>
                              <w:lang w:val="es-MX"/>
                            </w:rPr>
                          </w:pPr>
                          <w:proofErr w:type="spellStart"/>
                          <w:r w:rsidRPr="0083767C">
                            <w:rPr>
                              <w:rFonts w:ascii="Noto Sans SemiBold" w:hAnsi="Noto Sans SemiBold" w:cs="Noto Sans SemiBold"/>
                              <w:color w:val="691135"/>
                              <w:sz w:val="15"/>
                              <w:szCs w:val="15"/>
                              <w:lang w:val="es-MX"/>
                            </w:rPr>
                            <w:t>Blvd</w:t>
                          </w:r>
                          <w:proofErr w:type="spellEnd"/>
                          <w:r w:rsidRPr="0083767C">
                            <w:rPr>
                              <w:rFonts w:ascii="Noto Sans SemiBold" w:hAnsi="Noto Sans SemiBold" w:cs="Noto Sans SemiBold"/>
                              <w:color w:val="691135"/>
                              <w:sz w:val="15"/>
                              <w:szCs w:val="15"/>
                              <w:lang w:val="es-MX"/>
                            </w:rPr>
                            <w:t xml:space="preserve">. San Antonio de los buenos No. 8364 Fracc. </w:t>
                          </w:r>
                          <w:r w:rsidR="001E420C">
                            <w:rPr>
                              <w:rFonts w:ascii="Noto Sans SemiBold" w:hAnsi="Noto Sans SemiBold" w:cs="Noto Sans SemiBold"/>
                              <w:color w:val="691135"/>
                              <w:sz w:val="15"/>
                              <w:szCs w:val="15"/>
                              <w:lang w:val="es-MX"/>
                            </w:rPr>
                            <w:t>Industrial Valle Sur</w:t>
                          </w:r>
                          <w:r w:rsidRPr="0083767C">
                            <w:rPr>
                              <w:rFonts w:ascii="Noto Sans SemiBold" w:hAnsi="Noto Sans SemiBold" w:cs="Noto Sans SemiBold"/>
                              <w:color w:val="691135"/>
                              <w:sz w:val="15"/>
                              <w:szCs w:val="15"/>
                              <w:lang w:val="es-MX"/>
                            </w:rPr>
                            <w:t>, Tijuana, B. C.  CP22604</w:t>
                          </w:r>
                        </w:p>
                        <w:p w14:paraId="4CF98270" w14:textId="7A9B79FE" w:rsidR="00470118" w:rsidRPr="0083767C" w:rsidRDefault="00470118" w:rsidP="0025294A">
                          <w:pPr>
                            <w:rPr>
                              <w:color w:val="691135"/>
                              <w:sz w:val="15"/>
                              <w:szCs w:val="15"/>
                              <w:lang w:val="es-MX"/>
                            </w:rPr>
                          </w:pPr>
                          <w:r w:rsidRPr="0083767C">
                            <w:rPr>
                              <w:rFonts w:ascii="Noto Sans SemiBold" w:hAnsi="Noto Sans SemiBold" w:cs="Noto Sans SemiBold"/>
                              <w:color w:val="691135"/>
                              <w:sz w:val="15"/>
                              <w:szCs w:val="15"/>
                              <w:lang w:val="es-MX"/>
                            </w:rPr>
                            <w:t xml:space="preserve">Tel: </w:t>
                          </w:r>
                          <w:r w:rsidR="0083767C" w:rsidRPr="0083767C">
                            <w:rPr>
                              <w:rFonts w:ascii="Noto Sans SemiBold" w:hAnsi="Noto Sans SemiBold" w:cs="Noto Sans SemiBold"/>
                              <w:color w:val="691135"/>
                              <w:sz w:val="15"/>
                              <w:szCs w:val="15"/>
                              <w:lang w:val="es-MX"/>
                            </w:rPr>
                            <w:t xml:space="preserve">664 </w:t>
                          </w:r>
                          <w:proofErr w:type="gramStart"/>
                          <w:r w:rsidR="0083767C" w:rsidRPr="0083767C">
                            <w:rPr>
                              <w:rFonts w:ascii="Noto Sans SemiBold" w:hAnsi="Noto Sans SemiBold" w:cs="Noto Sans SemiBold"/>
                              <w:color w:val="691135"/>
                              <w:sz w:val="15"/>
                              <w:szCs w:val="15"/>
                              <w:lang w:val="es-MX"/>
                            </w:rPr>
                            <w:t>6370708  correo</w:t>
                          </w:r>
                          <w:proofErr w:type="gramEnd"/>
                          <w:r w:rsidR="0083767C" w:rsidRPr="0083767C">
                            <w:rPr>
                              <w:rFonts w:ascii="Noto Sans SemiBold" w:hAnsi="Noto Sans SemiBold" w:cs="Noto Sans SemiBold"/>
                              <w:color w:val="691135"/>
                              <w:sz w:val="15"/>
                              <w:szCs w:val="15"/>
                              <w:lang w:val="es-MX"/>
                            </w:rPr>
                            <w:t>: dirección13@dgb.edu.mx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A38722" id="_x0000_t202" coordsize="21600,21600" o:spt="202" path="m,l,21600r21600,l21600,xe">
              <v:stroke joinstyle="miter"/>
              <v:path gradientshapeok="t" o:connecttype="rect"/>
            </v:shapetype>
            <v:shape id="Cuadro de texto 2" o:spid="_x0000_s1026" type="#_x0000_t202" style="position:absolute;margin-left:136.95pt;margin-top:-8.45pt;width:374.8pt;height:2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eaqGAIAACwEAAAOAAAAZHJzL2Uyb0RvYy54bWysU9uO2yAQfa/Uf0C8N3ayuWysOKt0V6kq&#10;RbsrZat9JhhiS5ihQGKnX98BOxdt+1T1BQZmmMs5h8VDWytyFNZVoHM6HKSUCM2hqPQ+pz/e1l/u&#10;KXGe6YIp0CKnJ+How/Lzp0VjMjGCElQhLMEk2mWNyWnpvcmSxPFS1MwNwAiNTgm2Zh6Pdp8UljWY&#10;vVbJKE2nSQO2MBa4cA5vnzonXcb8UgruX6R0whOVU+zNx9XGdRfWZLlg2d4yU1a8b4P9Qxc1qzQW&#10;vaR6Yp6Rg63+SFVX3IID6Qcc6gSkrLiIM+A0w/TDNNuSGRFnQXCcucDk/l9a/nzcmldLfPsVWiQw&#10;ANIYlzm8DPO00tZhx04J+hHC0wU20XrC8XI8m8znU3Rx9N3NxuM04ppcXxvr/DcBNQlGTi3SEtFi&#10;x43zWBFDzyGhmIZ1pVSkRmnS5HR6N0njg4sHXyiND6+9Bsu3u7YfYAfFCeey0FHuDF9XWHzDnH9l&#10;FjnGflG3/gUXqQCLQG9RUoL99bf7EI/Qo5eSBjWTU/fzwKygRH3XSMp8iLOjyOJhPJmN8GBvPbtb&#10;jz7Uj4CyHOIPMTyaId6rsykt1O8o71Woii6mOdbOqT+bj75TMn4PLlarGISyMsxv9NbwkDrAGaB9&#10;a9+ZNT3+Hpl7hrO6WPaBhi62I2J18CCryFEAuEO1xx0lGanrv0/Q/O05Rl0/+fI3AAAA//8DAFBL&#10;AwQUAAYACAAAACEA5zni3+MAAAALAQAADwAAAGRycy9kb3ducmV2LnhtbEyPwU7DMAyG70i8Q2Qk&#10;blvajI1Rmk5TpQkJscPGLtzSxmsrEqc02VZ4erIT3Gz50+/vz1ejNeyMg+8cSUinCTCk2umOGgmH&#10;981kCcwHRVoZRyjhGz2situbXGXaXWiH531oWAwhnykJbQh9xrmvW7TKT12PFG9HN1gV4jo0XA/q&#10;EsOt4SJJFtyqjuKHVvVYtlh/7k9Wwmu52apdJezyx5Qvb8d1/3X4mEt5fzeun4EFHMMfDFf9qA5F&#10;dKrcibRnRoJ4nD1FVMIkXcThSiRiNgdWSXgQKfAi5/87FL8AAAD//wMAUEsBAi0AFAAGAAgAAAAh&#10;ALaDOJL+AAAA4QEAABMAAAAAAAAAAAAAAAAAAAAAAFtDb250ZW50X1R5cGVzXS54bWxQSwECLQAU&#10;AAYACAAAACEAOP0h/9YAAACUAQAACwAAAAAAAAAAAAAAAAAvAQAAX3JlbHMvLnJlbHNQSwECLQAU&#10;AAYACAAAACEAtAXmqhgCAAAsBAAADgAAAAAAAAAAAAAAAAAuAgAAZHJzL2Uyb0RvYy54bWxQSwEC&#10;LQAUAAYACAAAACEA5zni3+MAAAALAQAADwAAAAAAAAAAAAAAAAByBAAAZHJzL2Rvd25yZXYueG1s&#10;UEsFBgAAAAAEAAQA8wAAAIIFAAAAAA==&#10;" filled="f" stroked="f" strokeweight=".5pt">
              <v:textbox>
                <w:txbxContent>
                  <w:p w14:paraId="0F361B37" w14:textId="45708D67" w:rsidR="0025294A" w:rsidRPr="0083767C" w:rsidRDefault="0083767C" w:rsidP="0025294A">
                    <w:pPr>
                      <w:rPr>
                        <w:rFonts w:ascii="Noto Sans SemiBold" w:hAnsi="Noto Sans SemiBold" w:cs="Noto Sans SemiBold"/>
                        <w:color w:val="691135"/>
                        <w:sz w:val="15"/>
                        <w:szCs w:val="15"/>
                        <w:lang w:val="es-MX"/>
                      </w:rPr>
                    </w:pPr>
                    <w:proofErr w:type="spellStart"/>
                    <w:r w:rsidRPr="0083767C">
                      <w:rPr>
                        <w:rFonts w:ascii="Noto Sans SemiBold" w:hAnsi="Noto Sans SemiBold" w:cs="Noto Sans SemiBold"/>
                        <w:color w:val="691135"/>
                        <w:sz w:val="15"/>
                        <w:szCs w:val="15"/>
                        <w:lang w:val="es-MX"/>
                      </w:rPr>
                      <w:t>Blvd</w:t>
                    </w:r>
                    <w:proofErr w:type="spellEnd"/>
                    <w:r w:rsidRPr="0083767C">
                      <w:rPr>
                        <w:rFonts w:ascii="Noto Sans SemiBold" w:hAnsi="Noto Sans SemiBold" w:cs="Noto Sans SemiBold"/>
                        <w:color w:val="691135"/>
                        <w:sz w:val="15"/>
                        <w:szCs w:val="15"/>
                        <w:lang w:val="es-MX"/>
                      </w:rPr>
                      <w:t xml:space="preserve">. San Antonio de los buenos No. 8364 Fracc. </w:t>
                    </w:r>
                    <w:r w:rsidR="001E420C">
                      <w:rPr>
                        <w:rFonts w:ascii="Noto Sans SemiBold" w:hAnsi="Noto Sans SemiBold" w:cs="Noto Sans SemiBold"/>
                        <w:color w:val="691135"/>
                        <w:sz w:val="15"/>
                        <w:szCs w:val="15"/>
                        <w:lang w:val="es-MX"/>
                      </w:rPr>
                      <w:t>Industrial Valle Sur</w:t>
                    </w:r>
                    <w:r w:rsidRPr="0083767C">
                      <w:rPr>
                        <w:rFonts w:ascii="Noto Sans SemiBold" w:hAnsi="Noto Sans SemiBold" w:cs="Noto Sans SemiBold"/>
                        <w:color w:val="691135"/>
                        <w:sz w:val="15"/>
                        <w:szCs w:val="15"/>
                        <w:lang w:val="es-MX"/>
                      </w:rPr>
                      <w:t>, Tijuana, B. C.  CP22604</w:t>
                    </w:r>
                  </w:p>
                  <w:p w14:paraId="4CF98270" w14:textId="7A9B79FE" w:rsidR="00470118" w:rsidRPr="0083767C" w:rsidRDefault="00470118" w:rsidP="0025294A">
                    <w:pPr>
                      <w:rPr>
                        <w:color w:val="691135"/>
                        <w:sz w:val="15"/>
                        <w:szCs w:val="15"/>
                        <w:lang w:val="es-MX"/>
                      </w:rPr>
                    </w:pPr>
                    <w:r w:rsidRPr="0083767C">
                      <w:rPr>
                        <w:rFonts w:ascii="Noto Sans SemiBold" w:hAnsi="Noto Sans SemiBold" w:cs="Noto Sans SemiBold"/>
                        <w:color w:val="691135"/>
                        <w:sz w:val="15"/>
                        <w:szCs w:val="15"/>
                        <w:lang w:val="es-MX"/>
                      </w:rPr>
                      <w:t xml:space="preserve">Tel: </w:t>
                    </w:r>
                    <w:r w:rsidR="0083767C" w:rsidRPr="0083767C">
                      <w:rPr>
                        <w:rFonts w:ascii="Noto Sans SemiBold" w:hAnsi="Noto Sans SemiBold" w:cs="Noto Sans SemiBold"/>
                        <w:color w:val="691135"/>
                        <w:sz w:val="15"/>
                        <w:szCs w:val="15"/>
                        <w:lang w:val="es-MX"/>
                      </w:rPr>
                      <w:t xml:space="preserve">664 </w:t>
                    </w:r>
                    <w:proofErr w:type="gramStart"/>
                    <w:r w:rsidR="0083767C" w:rsidRPr="0083767C">
                      <w:rPr>
                        <w:rFonts w:ascii="Noto Sans SemiBold" w:hAnsi="Noto Sans SemiBold" w:cs="Noto Sans SemiBold"/>
                        <w:color w:val="691135"/>
                        <w:sz w:val="15"/>
                        <w:szCs w:val="15"/>
                        <w:lang w:val="es-MX"/>
                      </w:rPr>
                      <w:t>6370708  correo</w:t>
                    </w:r>
                    <w:proofErr w:type="gramEnd"/>
                    <w:r w:rsidR="0083767C" w:rsidRPr="0083767C">
                      <w:rPr>
                        <w:rFonts w:ascii="Noto Sans SemiBold" w:hAnsi="Noto Sans SemiBold" w:cs="Noto Sans SemiBold"/>
                        <w:color w:val="691135"/>
                        <w:sz w:val="15"/>
                        <w:szCs w:val="15"/>
                        <w:lang w:val="es-MX"/>
                      </w:rPr>
                      <w:t>: dirección13@dgb.edu.mx</w:t>
                    </w:r>
                  </w:p>
                </w:txbxContent>
              </v:textbox>
              <w10:wrap anchorx="margin"/>
            </v:shape>
          </w:pict>
        </mc:Fallback>
      </mc:AlternateContent>
    </w:r>
    <w:r>
      <w:rPr>
        <w:noProof/>
      </w:rPr>
      <w:drawing>
        <wp:inline distT="0" distB="0" distL="0" distR="0" wp14:anchorId="2AB37162" wp14:editId="2AE1DC37">
          <wp:extent cx="6538845" cy="463550"/>
          <wp:effectExtent l="0" t="0" r="0" b="0"/>
          <wp:docPr id="72334487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51994" cy="464482"/>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48AC24" w14:textId="77777777" w:rsidR="003922B9" w:rsidRDefault="003922B9" w:rsidP="007C2AD6">
      <w:r>
        <w:separator/>
      </w:r>
    </w:p>
  </w:footnote>
  <w:footnote w:type="continuationSeparator" w:id="0">
    <w:p w14:paraId="4F82ECE4" w14:textId="77777777" w:rsidR="003922B9" w:rsidRDefault="003922B9" w:rsidP="007C2A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D58D" w14:textId="2C695376" w:rsidR="00E1043F" w:rsidRDefault="00B4665C">
    <w:pPr>
      <w:pStyle w:val="Header"/>
    </w:pPr>
    <w:r w:rsidRPr="00DD5B20">
      <w:rPr>
        <w:noProof/>
        <w:position w:val="34"/>
        <w:lang w:val="es-ES_tradnl"/>
      </w:rPr>
      <w:drawing>
        <wp:anchor distT="0" distB="0" distL="114300" distR="114300" simplePos="0" relativeHeight="251672576" behindDoc="0" locked="0" layoutInCell="1" allowOverlap="1" wp14:anchorId="5FB3A7E9" wp14:editId="621D07C4">
          <wp:simplePos x="0" y="0"/>
          <wp:positionH relativeFrom="column">
            <wp:posOffset>5202555</wp:posOffset>
          </wp:positionH>
          <wp:positionV relativeFrom="paragraph">
            <wp:posOffset>-300355</wp:posOffset>
          </wp:positionV>
          <wp:extent cx="729615" cy="768985"/>
          <wp:effectExtent l="0" t="0" r="0" b="0"/>
          <wp:wrapNone/>
          <wp:docPr id="1647309867" name="image3.png" descr="Imagen en blanco y negro de una parej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png" descr="Imagen en blanco y negro de una pareja&#10;&#10;Descripción generada automáticamente con confianza media"/>
                  <pic:cNvPicPr/>
                </pic:nvPicPr>
                <pic:blipFill>
                  <a:blip r:embed="rId1" cstate="print">
                    <a:extLst>
                      <a:ext uri="{28A0092B-C50C-407E-A947-70E740481C1C}">
                        <a14:useLocalDpi xmlns:a14="http://schemas.microsoft.com/office/drawing/2010/main" val="0"/>
                      </a:ext>
                    </a:extLst>
                  </a:blip>
                  <a:stretch>
                    <a:fillRect/>
                  </a:stretch>
                </pic:blipFill>
                <pic:spPr>
                  <a:xfrm>
                    <a:off x="0" y="0"/>
                    <a:ext cx="729615" cy="768985"/>
                  </a:xfrm>
                  <a:prstGeom prst="rect">
                    <a:avLst/>
                  </a:prstGeom>
                </pic:spPr>
              </pic:pic>
            </a:graphicData>
          </a:graphic>
        </wp:anchor>
      </w:drawing>
    </w:r>
    <w:r>
      <w:rPr>
        <w:noProof/>
        <w14:ligatures w14:val="standardContextual"/>
      </w:rPr>
      <w:drawing>
        <wp:anchor distT="0" distB="0" distL="114300" distR="114300" simplePos="0" relativeHeight="251668480" behindDoc="1" locked="0" layoutInCell="1" allowOverlap="1" wp14:anchorId="218E306C" wp14:editId="36F896F5">
          <wp:simplePos x="0" y="0"/>
          <wp:positionH relativeFrom="column">
            <wp:posOffset>1905000</wp:posOffset>
          </wp:positionH>
          <wp:positionV relativeFrom="paragraph">
            <wp:posOffset>33655</wp:posOffset>
          </wp:positionV>
          <wp:extent cx="818984" cy="339955"/>
          <wp:effectExtent l="0" t="0" r="0" b="317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2">
                    <a:extLst>
                      <a:ext uri="{28A0092B-C50C-407E-A947-70E740481C1C}">
                        <a14:useLocalDpi xmlns:a14="http://schemas.microsoft.com/office/drawing/2010/main" val="0"/>
                      </a:ext>
                    </a:extLst>
                  </a:blip>
                  <a:stretch>
                    <a:fillRect/>
                  </a:stretch>
                </pic:blipFill>
                <pic:spPr>
                  <a:xfrm>
                    <a:off x="0" y="0"/>
                    <a:ext cx="818984" cy="339955"/>
                  </a:xfrm>
                  <a:prstGeom prst="rect">
                    <a:avLst/>
                  </a:prstGeom>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65408" behindDoc="1" locked="0" layoutInCell="1" allowOverlap="1" wp14:anchorId="10A4F67D" wp14:editId="0F09372C">
          <wp:simplePos x="0" y="0"/>
          <wp:positionH relativeFrom="column">
            <wp:posOffset>-528320</wp:posOffset>
          </wp:positionH>
          <wp:positionV relativeFrom="paragraph">
            <wp:posOffset>38735</wp:posOffset>
          </wp:positionV>
          <wp:extent cx="2336800" cy="431800"/>
          <wp:effectExtent l="0" t="0" r="0" b="0"/>
          <wp:wrapNone/>
          <wp:docPr id="135628548" name="Imagen 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28548" name="Imagen 3" descr="Imagen que contiene Logotipo&#10;&#10;Descripción generada automáticamente"/>
                  <pic:cNvPicPr/>
                </pic:nvPicPr>
                <pic:blipFill>
                  <a:blip r:embed="rId3">
                    <a:extLst>
                      <a:ext uri="{28A0092B-C50C-407E-A947-70E740481C1C}">
                        <a14:useLocalDpi xmlns:a14="http://schemas.microsoft.com/office/drawing/2010/main" val="0"/>
                      </a:ext>
                    </a:extLst>
                  </a:blip>
                  <a:stretch>
                    <a:fillRect/>
                  </a:stretch>
                </pic:blipFill>
                <pic:spPr>
                  <a:xfrm>
                    <a:off x="0" y="0"/>
                    <a:ext cx="2336800" cy="431800"/>
                  </a:xfrm>
                  <a:prstGeom prst="rect">
                    <a:avLst/>
                  </a:prstGeom>
                </pic:spPr>
              </pic:pic>
            </a:graphicData>
          </a:graphic>
          <wp14:sizeRelH relativeFrom="page">
            <wp14:pctWidth>0</wp14:pctWidth>
          </wp14:sizeRelH>
          <wp14:sizeRelV relativeFrom="page">
            <wp14:pctHeight>0</wp14:pctHeight>
          </wp14:sizeRelV>
        </wp:anchor>
      </w:drawing>
    </w:r>
    <w:r w:rsidRPr="00B22BCB">
      <w:rPr>
        <w:rFonts w:ascii="Noto Sans" w:hAnsi="Noto Sans" w:cs="Noto Sans"/>
        <w:noProof/>
        <w:sz w:val="18"/>
        <w:szCs w:val="18"/>
      </w:rPr>
      <w:drawing>
        <wp:anchor distT="0" distB="0" distL="114300" distR="114300" simplePos="0" relativeHeight="251670528" behindDoc="0" locked="0" layoutInCell="1" allowOverlap="1" wp14:anchorId="2DC0725B" wp14:editId="000B68C0">
          <wp:simplePos x="0" y="0"/>
          <wp:positionH relativeFrom="column">
            <wp:posOffset>3152775</wp:posOffset>
          </wp:positionH>
          <wp:positionV relativeFrom="paragraph">
            <wp:posOffset>-219710</wp:posOffset>
          </wp:positionV>
          <wp:extent cx="2049780" cy="688340"/>
          <wp:effectExtent l="0" t="0" r="7620" b="0"/>
          <wp:wrapNone/>
          <wp:docPr id="79655426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49780" cy="6883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2AD6"/>
    <w:rsid w:val="00012004"/>
    <w:rsid w:val="00025923"/>
    <w:rsid w:val="00037856"/>
    <w:rsid w:val="000547BB"/>
    <w:rsid w:val="000602C1"/>
    <w:rsid w:val="00076E3A"/>
    <w:rsid w:val="00083DED"/>
    <w:rsid w:val="000A74BB"/>
    <w:rsid w:val="000E3264"/>
    <w:rsid w:val="001011EC"/>
    <w:rsid w:val="001447FE"/>
    <w:rsid w:val="00160AF4"/>
    <w:rsid w:val="0017339D"/>
    <w:rsid w:val="001824F1"/>
    <w:rsid w:val="001932BA"/>
    <w:rsid w:val="001A1394"/>
    <w:rsid w:val="001B4F83"/>
    <w:rsid w:val="001E2492"/>
    <w:rsid w:val="001E420C"/>
    <w:rsid w:val="0024227D"/>
    <w:rsid w:val="00252392"/>
    <w:rsid w:val="0025294A"/>
    <w:rsid w:val="00254B63"/>
    <w:rsid w:val="00293111"/>
    <w:rsid w:val="002C5639"/>
    <w:rsid w:val="002C751C"/>
    <w:rsid w:val="002F2C10"/>
    <w:rsid w:val="00390F89"/>
    <w:rsid w:val="003922B9"/>
    <w:rsid w:val="003B531D"/>
    <w:rsid w:val="003D6319"/>
    <w:rsid w:val="003E5417"/>
    <w:rsid w:val="003E7C57"/>
    <w:rsid w:val="003F474D"/>
    <w:rsid w:val="003F772E"/>
    <w:rsid w:val="00444C36"/>
    <w:rsid w:val="00470118"/>
    <w:rsid w:val="00476DEE"/>
    <w:rsid w:val="00492F7E"/>
    <w:rsid w:val="005017DB"/>
    <w:rsid w:val="00550431"/>
    <w:rsid w:val="0059417F"/>
    <w:rsid w:val="005C56A7"/>
    <w:rsid w:val="00600FCD"/>
    <w:rsid w:val="00603467"/>
    <w:rsid w:val="00622FCD"/>
    <w:rsid w:val="00635CF2"/>
    <w:rsid w:val="00647904"/>
    <w:rsid w:val="00685082"/>
    <w:rsid w:val="006F1000"/>
    <w:rsid w:val="00706E35"/>
    <w:rsid w:val="00730595"/>
    <w:rsid w:val="00737D68"/>
    <w:rsid w:val="00757065"/>
    <w:rsid w:val="00776B1C"/>
    <w:rsid w:val="00780AE7"/>
    <w:rsid w:val="00787469"/>
    <w:rsid w:val="007923D0"/>
    <w:rsid w:val="00793FE0"/>
    <w:rsid w:val="007C2AD6"/>
    <w:rsid w:val="007F0328"/>
    <w:rsid w:val="00814144"/>
    <w:rsid w:val="00836245"/>
    <w:rsid w:val="0083767C"/>
    <w:rsid w:val="00864B63"/>
    <w:rsid w:val="00875831"/>
    <w:rsid w:val="008A1B57"/>
    <w:rsid w:val="008D2F4D"/>
    <w:rsid w:val="008F042D"/>
    <w:rsid w:val="00940DCE"/>
    <w:rsid w:val="00941676"/>
    <w:rsid w:val="00984B9D"/>
    <w:rsid w:val="00991D6F"/>
    <w:rsid w:val="009B5AEA"/>
    <w:rsid w:val="009C6BFA"/>
    <w:rsid w:val="009D1948"/>
    <w:rsid w:val="00A124AD"/>
    <w:rsid w:val="00A27EA1"/>
    <w:rsid w:val="00A435DA"/>
    <w:rsid w:val="00A62546"/>
    <w:rsid w:val="00AD5E81"/>
    <w:rsid w:val="00AF0D1E"/>
    <w:rsid w:val="00B16C61"/>
    <w:rsid w:val="00B22BCB"/>
    <w:rsid w:val="00B2583F"/>
    <w:rsid w:val="00B31E7D"/>
    <w:rsid w:val="00B4665C"/>
    <w:rsid w:val="00B5224C"/>
    <w:rsid w:val="00B622B3"/>
    <w:rsid w:val="00BA6D03"/>
    <w:rsid w:val="00BC48DD"/>
    <w:rsid w:val="00BC6175"/>
    <w:rsid w:val="00C047DF"/>
    <w:rsid w:val="00C051AA"/>
    <w:rsid w:val="00C2604C"/>
    <w:rsid w:val="00C86C7B"/>
    <w:rsid w:val="00C91445"/>
    <w:rsid w:val="00C959FD"/>
    <w:rsid w:val="00CE5DC4"/>
    <w:rsid w:val="00CF50CA"/>
    <w:rsid w:val="00D06A4A"/>
    <w:rsid w:val="00D12E02"/>
    <w:rsid w:val="00D152AC"/>
    <w:rsid w:val="00D42674"/>
    <w:rsid w:val="00D436F7"/>
    <w:rsid w:val="00D721AB"/>
    <w:rsid w:val="00D9072D"/>
    <w:rsid w:val="00DA4D03"/>
    <w:rsid w:val="00DE6563"/>
    <w:rsid w:val="00DF7DC2"/>
    <w:rsid w:val="00E1043F"/>
    <w:rsid w:val="00E734F4"/>
    <w:rsid w:val="00E8200D"/>
    <w:rsid w:val="00E8775A"/>
    <w:rsid w:val="00EB6786"/>
    <w:rsid w:val="00EE280A"/>
    <w:rsid w:val="00EF7B96"/>
    <w:rsid w:val="00F46C25"/>
    <w:rsid w:val="00F47B05"/>
    <w:rsid w:val="00F7604B"/>
    <w:rsid w:val="00F830E1"/>
    <w:rsid w:val="00F9342F"/>
    <w:rsid w:val="00FB154F"/>
    <w:rsid w:val="00FB3116"/>
    <w:rsid w:val="00FC2F3D"/>
    <w:rsid w:val="00FD351D"/>
    <w:rsid w:val="00FD6054"/>
    <w:rsid w:val="00FE28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1B1D6F"/>
  <w15:chartTrackingRefBased/>
  <w15:docId w15:val="{ED2F41D5-4B05-A248-9009-665C7825E9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2AD6"/>
    <w:rPr>
      <w:rFonts w:eastAsiaTheme="minorEastAsia"/>
      <w:kern w:val="0"/>
      <w:lang w:val="es-E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2AD6"/>
    <w:pPr>
      <w:tabs>
        <w:tab w:val="center" w:pos="4419"/>
        <w:tab w:val="right" w:pos="8838"/>
      </w:tabs>
    </w:pPr>
  </w:style>
  <w:style w:type="character" w:customStyle="1" w:styleId="HeaderChar">
    <w:name w:val="Header Char"/>
    <w:basedOn w:val="DefaultParagraphFont"/>
    <w:link w:val="Header"/>
    <w:uiPriority w:val="99"/>
    <w:rsid w:val="007C2AD6"/>
    <w:rPr>
      <w:rFonts w:eastAsiaTheme="minorEastAsia"/>
      <w:kern w:val="0"/>
      <w:lang w:val="es-ES"/>
      <w14:ligatures w14:val="none"/>
    </w:rPr>
  </w:style>
  <w:style w:type="paragraph" w:styleId="Footer">
    <w:name w:val="footer"/>
    <w:basedOn w:val="Normal"/>
    <w:link w:val="FooterChar"/>
    <w:uiPriority w:val="99"/>
    <w:unhideWhenUsed/>
    <w:rsid w:val="007C2AD6"/>
    <w:pPr>
      <w:tabs>
        <w:tab w:val="center" w:pos="4419"/>
        <w:tab w:val="right" w:pos="8838"/>
      </w:tabs>
    </w:pPr>
  </w:style>
  <w:style w:type="character" w:customStyle="1" w:styleId="FooterChar">
    <w:name w:val="Footer Char"/>
    <w:basedOn w:val="DefaultParagraphFont"/>
    <w:link w:val="Footer"/>
    <w:uiPriority w:val="99"/>
    <w:rsid w:val="007C2AD6"/>
    <w:rPr>
      <w:rFonts w:eastAsiaTheme="minorEastAsia"/>
      <w:kern w:val="0"/>
      <w:lang w:val="es-ES"/>
      <w14:ligatures w14:val="none"/>
    </w:rPr>
  </w:style>
  <w:style w:type="table" w:styleId="TableGrid">
    <w:name w:val="Table Grid"/>
    <w:basedOn w:val="TableNormal"/>
    <w:uiPriority w:val="39"/>
    <w:rsid w:val="00EB67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EB678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94308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1979</Words>
  <Characters>11659</Characters>
  <Application>Microsoft Office Word</Application>
  <DocSecurity>0</DocSecurity>
  <Lines>259</Lines>
  <Paragraphs>118</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13520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LAURA HIGA</cp:lastModifiedBy>
  <cp:revision>7</cp:revision>
  <cp:lastPrinted>2025-01-22T17:08:00Z</cp:lastPrinted>
  <dcterms:created xsi:type="dcterms:W3CDTF">2026-01-28T17:22:00Z</dcterms:created>
  <dcterms:modified xsi:type="dcterms:W3CDTF">2026-02-11T18:26:00Z</dcterms:modified>
</cp:coreProperties>
</file>